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8"/>
          <w14:textFill>
            <w14:solidFill>
              <w14:schemeClr w14:val="bg1"/>
            </w14:solidFill>
          </w14:textFill>
        </w:rPr>
        <w:drawing>
          <wp:anchor distT="0" distB="0" distL="114300" distR="114300" simplePos="0" relativeHeight="251661312" behindDoc="1" locked="0" layoutInCell="1" allowOverlap="1">
            <wp:simplePos x="0" y="0"/>
            <wp:positionH relativeFrom="column">
              <wp:posOffset>-1144905</wp:posOffset>
            </wp:positionH>
            <wp:positionV relativeFrom="paragraph">
              <wp:posOffset>-919480</wp:posOffset>
            </wp:positionV>
            <wp:extent cx="7602220" cy="10745470"/>
            <wp:effectExtent l="0" t="0" r="2540" b="13970"/>
            <wp:wrapNone/>
            <wp:docPr id="1" name="图片 1" descr="A4 封面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 封面_2(1)"/>
                    <pic:cNvPicPr>
                      <a:picLocks noChangeAspect="1"/>
                    </pic:cNvPicPr>
                  </pic:nvPicPr>
                  <pic:blipFill>
                    <a:blip r:embed="rId6"/>
                    <a:stretch>
                      <a:fillRect/>
                    </a:stretch>
                  </pic:blipFill>
                  <pic:spPr>
                    <a:xfrm>
                      <a:off x="0" y="0"/>
                      <a:ext cx="7602220" cy="10745470"/>
                    </a:xfrm>
                    <a:prstGeom prst="rect">
                      <a:avLst/>
                    </a:prstGeom>
                  </pic:spPr>
                </pic:pic>
              </a:graphicData>
            </a:graphic>
          </wp:anchor>
        </w:drawing>
      </w:r>
      <w:r>
        <w:rPr>
          <w:rFonts w:hint="eastAsia" w:ascii="微软雅黑" w:hAnsi="微软雅黑" w:eastAsia="微软雅黑" w:cs="微软雅黑"/>
          <w:b/>
          <w:bCs/>
          <w:color w:val="FFFFFF" w:themeColor="background1"/>
          <w:sz w:val="40"/>
          <w:szCs w:val="48"/>
          <w14:textFill>
            <w14:solidFill>
              <w14:schemeClr w14:val="bg1"/>
            </w14:solidFill>
          </w14:textFill>
        </w:rPr>
        <w:t>少年硅谷</w:t>
      </w: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w:t>
      </w:r>
      <w:r>
        <w:rPr>
          <w:rFonts w:hint="eastAsia" w:ascii="微软雅黑" w:hAnsi="微软雅黑" w:eastAsia="微软雅黑" w:cs="微软雅黑"/>
          <w:b/>
          <w:bCs/>
          <w:color w:val="FFFFFF" w:themeColor="background1"/>
          <w:sz w:val="40"/>
          <w:szCs w:val="48"/>
          <w14:textFill>
            <w14:solidFill>
              <w14:schemeClr w14:val="bg1"/>
            </w14:solidFill>
          </w14:textFill>
        </w:rPr>
        <w:t>月球资源采集</w:t>
      </w: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挑战赛</w:t>
      </w:r>
    </w:p>
    <w:p>
      <w:pPr>
        <w:jc w:val="cente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广州英荔教育科技有限公司</w:t>
      </w:r>
    </w:p>
    <w:p>
      <w:pPr>
        <w:jc w:val="center"/>
        <w:rPr>
          <w:rFonts w:hint="eastAsia"/>
          <w:b/>
          <w:bCs/>
          <w:sz w:val="40"/>
          <w:szCs w:val="48"/>
          <w:lang w:val="en-US" w:eastAsia="zh-CN"/>
        </w:rPr>
      </w:pPr>
    </w:p>
    <w:p>
      <w:pPr>
        <w:jc w:val="both"/>
        <w:rPr>
          <w:rFonts w:hint="eastAsia"/>
          <w:b/>
          <w:bCs/>
          <w:sz w:val="40"/>
          <w:szCs w:val="48"/>
          <w:lang w:val="en-US" w:eastAsia="zh-CN"/>
        </w:rPr>
      </w:pP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赛</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事</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规</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则</w:t>
      </w:r>
    </w:p>
    <w:p>
      <w:pPr>
        <w:jc w:val="cente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t>小学组</w:t>
      </w:r>
    </w:p>
    <w:p/>
    <w:p/>
    <w:p/>
    <w:sdt>
      <w:sdtPr>
        <w:rPr>
          <w:rFonts w:ascii="宋体" w:hAnsi="宋体" w:eastAsia="宋体" w:cstheme="minorBidi"/>
          <w:kern w:val="2"/>
          <w:sz w:val="21"/>
          <w:szCs w:val="24"/>
          <w:lang w:val="en-US" w:eastAsia="zh-CN" w:bidi="ar-SA"/>
        </w:rPr>
        <w:id w:val="147470488"/>
        <w15:color w:val="DBDBDB"/>
        <w:docPartObj>
          <w:docPartGallery w:val="Table of Contents"/>
          <w:docPartUnique/>
        </w:docPartObj>
      </w:sdtPr>
      <w:sdtEndPr>
        <w:rPr>
          <w:rFonts w:hint="eastAsia" w:ascii="微软雅黑" w:hAnsi="微软雅黑" w:eastAsia="微软雅黑" w:cs="微软雅黑"/>
          <w:bCs w:val="0"/>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bookmarkStart w:id="0" w:name="_Toc12165"/>
        </w:p>
        <w:p>
          <w:pPr>
            <w:spacing w:before="0" w:beforeLines="0" w:after="0" w:afterLines="0" w:line="240" w:lineRule="auto"/>
            <w:ind w:left="0" w:leftChars="0" w:right="0" w:rightChars="0" w:firstLine="0" w:firstLineChars="0"/>
            <w:jc w:val="center"/>
            <w:rPr>
              <w:rFonts w:ascii="宋体" w:hAnsi="宋体" w:eastAsia="宋体"/>
              <w:sz w:val="44"/>
              <w:szCs w:val="44"/>
            </w:rPr>
          </w:pPr>
          <w:r>
            <w:rPr>
              <w:rFonts w:ascii="宋体" w:hAnsi="宋体" w:eastAsia="宋体"/>
              <w:sz w:val="44"/>
              <w:szCs w:val="44"/>
            </w:rPr>
            <w:t>目录</w:t>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 w:val="0"/>
              <w:bCs w:val="0"/>
              <w:color w:val="auto"/>
              <w:sz w:val="32"/>
              <w:szCs w:val="32"/>
              <w:lang w:val="en-US" w:eastAsia="zh-CN"/>
            </w:rPr>
            <w:fldChar w:fldCharType="begin"/>
          </w:r>
          <w:r>
            <w:rPr>
              <w:rFonts w:hint="eastAsia" w:ascii="微软雅黑" w:hAnsi="微软雅黑" w:eastAsia="微软雅黑" w:cs="微软雅黑"/>
              <w:b w:val="0"/>
              <w:bCs w:val="0"/>
              <w:color w:val="auto"/>
              <w:sz w:val="32"/>
              <w:szCs w:val="32"/>
              <w:lang w:val="en-US" w:eastAsia="zh-CN"/>
            </w:rPr>
            <w:instrText xml:space="preserve">TOC \o "1-3" \h \u </w:instrText>
          </w:r>
          <w:r>
            <w:rPr>
              <w:rFonts w:hint="eastAsia" w:ascii="微软雅黑" w:hAnsi="微软雅黑" w:eastAsia="微软雅黑" w:cs="微软雅黑"/>
              <w:b w:val="0"/>
              <w:bCs w:val="0"/>
              <w:color w:val="auto"/>
              <w:sz w:val="32"/>
              <w:szCs w:val="32"/>
              <w:lang w:val="en-US" w:eastAsia="zh-CN"/>
            </w:rPr>
            <w:fldChar w:fldCharType="separate"/>
          </w:r>
          <w:bookmarkStart w:id="62" w:name="_GoBack"/>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_Toc23707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32"/>
              <w:lang w:val="en-US" w:eastAsia="zh-CN"/>
            </w:rPr>
            <w:t>1、赛事介绍</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_Toc23707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_Toc15758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1.1关于少年硅谷-全国青少年人工智能教育成果展示大赛</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_Toc15758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_Toc20885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1.2关于月球资源采集挑战赛</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_Toc20885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_Toc1485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1.3参赛要求</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_Toc1485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_Toc6507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32"/>
              <w:lang w:val="en-US" w:eastAsia="zh-CN"/>
            </w:rPr>
            <w:t>2、比赛内容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_Toc6507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_Toc2610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2.1赛项故事背景</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_Toc2610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_Toc16294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2.2比赛场地说明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_Toc16294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_Toc10212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2.3小学组比赛任务及得分说明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_Toc10212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_Toc13706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任务一：启动，点亮基地</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_Toc13706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_Toc22758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任务二：出发，获取计划</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_Toc22758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_Toc27547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任务三：开灯，召唤飞船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_Toc27547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_Toc22542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任务四：前进，收集数据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_Toc22542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_Toc5167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任务五：采集，运回矿物</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_Toc5167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_Toc19919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任务六：调库，准备发货</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_Toc19919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_Toc16280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任务七：完工，冲过终点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_Toc16280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_Toc5169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2.4比赛器材技术规范</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_Toc5169 \h </w:instrText>
          </w:r>
          <w:r>
            <w:rPr>
              <w:rFonts w:hint="eastAsia" w:ascii="微软雅黑" w:hAnsi="微软雅黑" w:eastAsia="微软雅黑" w:cs="微软雅黑"/>
            </w:rPr>
            <w:fldChar w:fldCharType="separate"/>
          </w:r>
          <w:r>
            <w:rPr>
              <w:rFonts w:hint="eastAsia" w:ascii="微软雅黑" w:hAnsi="微软雅黑" w:eastAsia="微软雅黑" w:cs="微软雅黑"/>
            </w:rPr>
            <w:t>9</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_Toc18101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2.5违规情况说明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_Toc18101 \h </w:instrText>
          </w:r>
          <w:r>
            <w:rPr>
              <w:rFonts w:hint="eastAsia" w:ascii="微软雅黑" w:hAnsi="微软雅黑" w:eastAsia="微软雅黑" w:cs="微软雅黑"/>
            </w:rPr>
            <w:fldChar w:fldCharType="separate"/>
          </w:r>
          <w:r>
            <w:rPr>
              <w:rFonts w:hint="eastAsia" w:ascii="微软雅黑" w:hAnsi="微软雅黑" w:eastAsia="微软雅黑" w:cs="微软雅黑"/>
            </w:rPr>
            <w:t>9</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_Toc21423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2.6单场比赛流程</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_Toc21423 \h </w:instrText>
          </w:r>
          <w:r>
            <w:rPr>
              <w:rFonts w:hint="eastAsia" w:ascii="微软雅黑" w:hAnsi="微软雅黑" w:eastAsia="微软雅黑" w:cs="微软雅黑"/>
            </w:rPr>
            <w:fldChar w:fldCharType="separate"/>
          </w:r>
          <w:r>
            <w:rPr>
              <w:rFonts w:hint="eastAsia" w:ascii="微软雅黑" w:hAnsi="微软雅黑" w:eastAsia="微软雅黑" w:cs="微软雅黑"/>
            </w:rPr>
            <w:t>10</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_Toc24290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kern w:val="0"/>
              <w:szCs w:val="24"/>
            </w:rPr>
            <w:t>附录</w:t>
          </w:r>
          <w:r>
            <w:rPr>
              <w:rFonts w:hint="eastAsia" w:ascii="微软雅黑" w:hAnsi="微软雅黑" w:eastAsia="微软雅黑" w:cs="微软雅黑"/>
              <w:bCs/>
              <w:kern w:val="0"/>
              <w:szCs w:val="24"/>
              <w:lang w:val="en-US" w:eastAsia="zh-CN"/>
            </w:rPr>
            <w:t>一</w:t>
          </w:r>
          <w:r>
            <w:rPr>
              <w:rFonts w:hint="eastAsia" w:ascii="微软雅黑" w:hAnsi="微软雅黑" w:eastAsia="微软雅黑" w:cs="微软雅黑"/>
              <w:bCs/>
              <w:kern w:val="0"/>
              <w:szCs w:val="24"/>
            </w:rPr>
            <w:t>：比赛过程评分表（小学组）</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_Toc24290 \h </w:instrText>
          </w:r>
          <w:r>
            <w:rPr>
              <w:rFonts w:hint="eastAsia" w:ascii="微软雅黑" w:hAnsi="微软雅黑" w:eastAsia="微软雅黑" w:cs="微软雅黑"/>
            </w:rPr>
            <w:fldChar w:fldCharType="separate"/>
          </w:r>
          <w:r>
            <w:rPr>
              <w:rFonts w:hint="eastAsia" w:ascii="微软雅黑" w:hAnsi="微软雅黑" w:eastAsia="微软雅黑" w:cs="微软雅黑"/>
            </w:rPr>
            <w:t>12</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_Toc1999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kern w:val="0"/>
              <w:szCs w:val="24"/>
            </w:rPr>
            <w:t>附录</w:t>
          </w:r>
          <w:r>
            <w:rPr>
              <w:rFonts w:hint="eastAsia" w:ascii="微软雅黑" w:hAnsi="微软雅黑" w:eastAsia="微软雅黑" w:cs="微软雅黑"/>
              <w:bCs/>
              <w:kern w:val="0"/>
              <w:szCs w:val="24"/>
              <w:lang w:val="en-US" w:eastAsia="zh-CN"/>
            </w:rPr>
            <w:t>二</w:t>
          </w:r>
          <w:r>
            <w:rPr>
              <w:rFonts w:hint="eastAsia" w:ascii="微软雅黑" w:hAnsi="微软雅黑" w:eastAsia="微软雅黑" w:cs="微软雅黑"/>
              <w:bCs/>
              <w:kern w:val="0"/>
              <w:szCs w:val="24"/>
            </w:rPr>
            <w:t>：比赛结果评分表</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_Toc1999 \h </w:instrText>
          </w:r>
          <w:r>
            <w:rPr>
              <w:rFonts w:hint="eastAsia" w:ascii="微软雅黑" w:hAnsi="微软雅黑" w:eastAsia="微软雅黑" w:cs="微软雅黑"/>
            </w:rPr>
            <w:fldChar w:fldCharType="separate"/>
          </w:r>
          <w:r>
            <w:rPr>
              <w:rFonts w:hint="eastAsia" w:ascii="微软雅黑" w:hAnsi="微软雅黑" w:eastAsia="微软雅黑" w:cs="微软雅黑"/>
            </w:rPr>
            <w:t>13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bookmarkEnd w:id="62"/>
        </w:p>
        <w:p>
          <w:pPr>
            <w:outlineLvl w:val="9"/>
            <w:rPr>
              <w:rFonts w:hint="eastAsia" w:ascii="微软雅黑" w:hAnsi="微软雅黑" w:eastAsia="微软雅黑" w:cs="微软雅黑"/>
              <w:bCs w:val="0"/>
              <w:color w:val="auto"/>
              <w:kern w:val="2"/>
              <w:sz w:val="21"/>
              <w:szCs w:val="32"/>
              <w:lang w:val="en-US" w:eastAsia="zh-CN" w:bidi="ar-SA"/>
            </w:rPr>
          </w:pPr>
          <w:r>
            <w:rPr>
              <w:rFonts w:hint="eastAsia" w:ascii="微软雅黑" w:hAnsi="微软雅黑" w:eastAsia="微软雅黑" w:cs="微软雅黑"/>
              <w:bCs w:val="0"/>
              <w:color w:val="auto"/>
              <w:szCs w:val="32"/>
              <w:lang w:val="en-US" w:eastAsia="zh-CN"/>
            </w:rPr>
            <w:fldChar w:fldCharType="end"/>
          </w:r>
        </w:p>
      </w:sdtContent>
    </w:sdt>
    <w:p>
      <w:pPr>
        <w:outlineLvl w:val="9"/>
        <w:rPr>
          <w:rFonts w:hint="eastAsia" w:ascii="微软雅黑" w:hAnsi="微软雅黑" w:eastAsia="微软雅黑" w:cs="微软雅黑"/>
          <w:bCs w:val="0"/>
          <w:color w:val="auto"/>
          <w:kern w:val="2"/>
          <w:sz w:val="21"/>
          <w:szCs w:val="32"/>
          <w:lang w:val="en-US" w:eastAsia="zh-CN" w:bidi="ar-SA"/>
        </w:rPr>
      </w:pPr>
    </w:p>
    <w:p>
      <w:pPr>
        <w:outlineLvl w:val="0"/>
        <w:rPr>
          <w:rFonts w:hint="eastAsia" w:ascii="微软雅黑" w:hAnsi="微软雅黑" w:eastAsia="微软雅黑" w:cs="微软雅黑"/>
          <w:b w:val="0"/>
          <w:bCs w:val="0"/>
          <w:color w:val="auto"/>
          <w:sz w:val="32"/>
          <w:szCs w:val="32"/>
          <w:lang w:val="en-US" w:eastAsia="zh-CN"/>
        </w:rPr>
      </w:pPr>
      <w:bookmarkStart w:id="1" w:name="_Toc23707"/>
      <w:r>
        <w:rPr>
          <w:rFonts w:hint="eastAsia" w:ascii="微软雅黑" w:hAnsi="微软雅黑" w:eastAsia="微软雅黑" w:cs="微软雅黑"/>
          <w:b w:val="0"/>
          <w:bCs w:val="0"/>
          <w:color w:val="auto"/>
          <w:sz w:val="32"/>
          <w:szCs w:val="32"/>
          <w:lang w:val="en-US" w:eastAsia="zh-CN"/>
        </w:rPr>
        <w:t>1、赛事介绍</w:t>
      </w:r>
      <w:bookmarkEnd w:id="0"/>
      <w:bookmarkEnd w:id="1"/>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2" w:name="_Toc32498"/>
      <w:bookmarkStart w:id="3" w:name="_Toc31870"/>
      <w:bookmarkStart w:id="4" w:name="_Toc11605"/>
      <w:bookmarkStart w:id="5" w:name="_Toc4806"/>
      <w:bookmarkStart w:id="6" w:name="_Toc15758"/>
      <w:r>
        <w:rPr>
          <w:rFonts w:hint="eastAsia" w:ascii="微软雅黑" w:hAnsi="微软雅黑" w:eastAsia="微软雅黑" w:cs="微软雅黑"/>
          <w:b w:val="0"/>
          <w:bCs w:val="0"/>
          <w:color w:val="auto"/>
          <w:sz w:val="28"/>
          <w:szCs w:val="28"/>
          <w:lang w:val="en-US" w:eastAsia="zh-CN"/>
        </w:rPr>
        <w:t>1.1关于少年硅谷-全国青少年人工智能教育成果展示大赛</w:t>
      </w:r>
      <w:bookmarkEnd w:id="2"/>
      <w:bookmarkEnd w:id="3"/>
      <w:bookmarkEnd w:id="4"/>
      <w:bookmarkEnd w:id="5"/>
      <w:bookmarkEnd w:id="6"/>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为了更好地提升青少年科技素养，让更多的青少年参与到科技实践活动中来，2020 年 7 月初，经教育部(教基厅函〔2020〕23号)批准，中国下一代教育基金会举办首届“少年硅谷——全国青少年人工智能教育成果展示大赛”。此次大赛的举办适逢北斗三号全球卫星导航系统全面建成，大赛科技创新实践的主题恰好与弘扬“自主创新、开放融合、万众一心、追求卓越”的新时代北斗精神相契合，体现了大赛正确的导向性。此次大赛严格遵守教育部发布的教基厅函 〔2020〕21 号文件的有关规定，它既是一场高水准、高质量的科技主题“盛宴”，更是“少年硅谷”公益项目成果的一次“大阅兵”。</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7" w:name="_Toc9925"/>
      <w:bookmarkStart w:id="8" w:name="_Toc20885"/>
      <w:bookmarkStart w:id="9" w:name="_Toc22735"/>
      <w:bookmarkStart w:id="10" w:name="_Toc3176"/>
      <w:bookmarkStart w:id="11" w:name="_Toc29630"/>
      <w:r>
        <w:rPr>
          <w:rFonts w:hint="eastAsia" w:ascii="微软雅黑" w:hAnsi="微软雅黑" w:eastAsia="微软雅黑" w:cs="微软雅黑"/>
          <w:b w:val="0"/>
          <w:bCs w:val="0"/>
          <w:sz w:val="28"/>
          <w:szCs w:val="28"/>
          <w:lang w:val="en-US" w:eastAsia="zh-CN"/>
        </w:rPr>
        <w:t>1.2关于月球资源采集挑战赛</w:t>
      </w:r>
      <w:bookmarkEnd w:id="7"/>
      <w:bookmarkEnd w:id="8"/>
      <w:bookmarkEnd w:id="9"/>
      <w:bookmarkEnd w:id="10"/>
      <w:bookmarkEnd w:id="11"/>
    </w:p>
    <w:p>
      <w:pPr>
        <w:pStyle w:val="10"/>
        <w:numPr>
          <w:ilvl w:val="0"/>
          <w:numId w:val="0"/>
        </w:numPr>
        <w:ind w:leftChars="200"/>
        <w:jc w:val="both"/>
        <w:outlineLvl w:val="9"/>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此次大赛的策划适逢嫦娥五号探月并成功完成钻取 2 千克月壤的采样和封装，成世界首例。为考察青少年对月球探索、人工智能、计算机编程和资源采集等有关知识的综合运用情况，</w:t>
      </w:r>
      <w:r>
        <w:rPr>
          <w:rFonts w:hint="eastAsia" w:ascii="微软雅黑" w:hAnsi="微软雅黑" w:eastAsia="微软雅黑" w:cs="微软雅黑"/>
          <w:color w:val="auto"/>
          <w:sz w:val="20"/>
          <w:szCs w:val="20"/>
          <w:lang w:val="en-US" w:eastAsia="zh-CN"/>
        </w:rPr>
        <w:t>大赛</w:t>
      </w:r>
      <w:r>
        <w:rPr>
          <w:rFonts w:hint="eastAsia" w:ascii="微软雅黑" w:hAnsi="微软雅黑" w:eastAsia="微软雅黑" w:cs="微软雅黑"/>
          <w:color w:val="auto"/>
          <w:sz w:val="20"/>
          <w:szCs w:val="20"/>
        </w:rPr>
        <w:t>特别设计月球资源采集挑战赛项目，希望通过比赛让青少年感悟到“追逐梦想、勇于探索、协同攻坚、合作共赢”的探月精神，并以高水平的赛事设置来培养学生的逻辑思维能力、创新意识和实际操作能力，提高应用编程水平，激发学生的科技创新潜能。</w:t>
      </w:r>
    </w:p>
    <w:p>
      <w:pPr>
        <w:pStyle w:val="10"/>
        <w:numPr>
          <w:ilvl w:val="0"/>
          <w:numId w:val="0"/>
        </w:numPr>
        <w:ind w:leftChars="200"/>
        <w:jc w:val="both"/>
        <w:outlineLvl w:val="9"/>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月球资源采集挑战赛</w:t>
      </w:r>
      <w:r>
        <w:rPr>
          <w:rFonts w:hint="eastAsia" w:ascii="微软雅黑" w:hAnsi="微软雅黑" w:eastAsia="微软雅黑" w:cs="微软雅黑"/>
          <w:color w:val="auto"/>
          <w:sz w:val="20"/>
          <w:szCs w:val="20"/>
          <w:lang w:val="en-US" w:eastAsia="zh-CN"/>
        </w:rPr>
        <w:t>的</w:t>
      </w:r>
      <w:r>
        <w:rPr>
          <w:rFonts w:hint="eastAsia" w:ascii="微软雅黑" w:hAnsi="微软雅黑" w:eastAsia="微软雅黑" w:cs="微软雅黑"/>
          <w:color w:val="auto"/>
          <w:sz w:val="20"/>
          <w:szCs w:val="20"/>
        </w:rPr>
        <w:t>技术支持方</w:t>
      </w:r>
      <w:r>
        <w:rPr>
          <w:rFonts w:hint="eastAsia" w:ascii="微软雅黑" w:hAnsi="微软雅黑" w:eastAsia="微软雅黑" w:cs="微软雅黑"/>
          <w:color w:val="auto"/>
          <w:sz w:val="20"/>
          <w:szCs w:val="20"/>
          <w:lang w:val="en-US" w:eastAsia="zh-CN"/>
        </w:rPr>
        <w:t>为广州英荔教育科技有限公司，</w:t>
      </w:r>
      <w:r>
        <w:rPr>
          <w:rFonts w:hint="eastAsia" w:ascii="微软雅黑" w:hAnsi="微软雅黑" w:eastAsia="微软雅黑" w:cs="微软雅黑"/>
          <w:color w:val="auto"/>
          <w:sz w:val="20"/>
          <w:szCs w:val="20"/>
        </w:rPr>
        <w:t>为竞赛制定比赛规则、设计月球基地赛台及道具，对参赛选手团队进行赛前培训，同时将全程在比赛现场提供技术支持，保证比赛的竞技性、智能性、流畅性及公平性。</w:t>
      </w:r>
    </w:p>
    <w:p>
      <w:pPr>
        <w:pStyle w:val="10"/>
        <w:numPr>
          <w:ilvl w:val="0"/>
          <w:numId w:val="0"/>
        </w:numPr>
        <w:ind w:leftChars="200"/>
        <w:jc w:val="both"/>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color w:val="auto"/>
          <w:sz w:val="20"/>
          <w:szCs w:val="20"/>
        </w:rPr>
        <w:t>月球资源采集挑战赛面向全国小学、初中学生展开。参赛青少年将运用结构搭建、逻辑编程、图像识别、机器学习、物联网控制等知识，利用计算机编程工具和语言，围绕特定的月球基地主题赛台，通过编程控制机器人来完成既好玩又有挑战性的特定任务，并以按步积分的形式进行竞赛。</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12" w:name="_Toc15378"/>
      <w:bookmarkStart w:id="13" w:name="_Toc29223"/>
      <w:bookmarkStart w:id="14" w:name="_Toc21255"/>
      <w:bookmarkStart w:id="15" w:name="_Toc15189"/>
      <w:bookmarkStart w:id="16" w:name="_Toc1485"/>
      <w:r>
        <w:rPr>
          <w:rFonts w:hint="eastAsia" w:ascii="微软雅黑" w:hAnsi="微软雅黑" w:eastAsia="微软雅黑" w:cs="微软雅黑"/>
          <w:b w:val="0"/>
          <w:bCs w:val="0"/>
          <w:sz w:val="28"/>
          <w:szCs w:val="28"/>
          <w:lang w:val="en-US" w:eastAsia="zh-CN"/>
        </w:rPr>
        <w:t>1.3参赛要求</w:t>
      </w:r>
      <w:bookmarkEnd w:id="12"/>
      <w:bookmarkEnd w:id="13"/>
      <w:bookmarkEnd w:id="14"/>
      <w:bookmarkEnd w:id="15"/>
      <w:bookmarkEnd w:id="16"/>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参赛组别：小学组、初中组。</w:t>
      </w:r>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参赛人数：2 人/团队，每支队伍 1-2 名指导老师。</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p>
    <w:p>
      <w:pPr>
        <w:numPr>
          <w:ilvl w:val="0"/>
          <w:numId w:val="0"/>
        </w:numPr>
        <w:jc w:val="both"/>
        <w:outlineLvl w:val="0"/>
        <w:rPr>
          <w:rFonts w:hint="eastAsia" w:ascii="微软雅黑" w:hAnsi="微软雅黑" w:eastAsia="微软雅黑" w:cs="微软雅黑"/>
          <w:b w:val="0"/>
          <w:bCs w:val="0"/>
          <w:sz w:val="32"/>
          <w:szCs w:val="32"/>
          <w:lang w:val="en-US" w:eastAsia="zh-CN"/>
        </w:rPr>
      </w:pPr>
      <w:bookmarkStart w:id="17" w:name="_Toc2195"/>
      <w:bookmarkStart w:id="18" w:name="_Toc16046"/>
      <w:bookmarkStart w:id="19" w:name="_Toc9190"/>
      <w:bookmarkStart w:id="20" w:name="_Toc3228"/>
      <w:bookmarkStart w:id="21" w:name="_Toc6507"/>
      <w:r>
        <w:rPr>
          <w:rFonts w:hint="eastAsia" w:ascii="微软雅黑" w:hAnsi="微软雅黑" w:eastAsia="微软雅黑" w:cs="微软雅黑"/>
          <w:b w:val="0"/>
          <w:bCs w:val="0"/>
          <w:sz w:val="32"/>
          <w:szCs w:val="32"/>
          <w:lang w:val="en-US" w:eastAsia="zh-CN"/>
        </w:rPr>
        <w:t>2、比赛内容</w:t>
      </w:r>
      <w:bookmarkEnd w:id="17"/>
      <w:bookmarkEnd w:id="18"/>
      <w:bookmarkEnd w:id="19"/>
      <w:bookmarkEnd w:id="20"/>
      <w:bookmarkEnd w:id="21"/>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22" w:name="_Toc12161"/>
      <w:bookmarkStart w:id="23" w:name="_Toc6518"/>
      <w:bookmarkStart w:id="24" w:name="_Toc2610"/>
      <w:bookmarkStart w:id="25" w:name="_Toc2153"/>
      <w:r>
        <w:rPr>
          <w:rFonts w:hint="eastAsia" w:ascii="微软雅黑" w:hAnsi="微软雅黑" w:eastAsia="微软雅黑" w:cs="微软雅黑"/>
          <w:b w:val="0"/>
          <w:bCs w:val="0"/>
          <w:sz w:val="28"/>
          <w:szCs w:val="28"/>
          <w:lang w:val="en-US" w:eastAsia="zh-CN"/>
        </w:rPr>
        <w:t>2.1赛项故事背景</w:t>
      </w:r>
      <w:bookmarkEnd w:id="22"/>
      <w:bookmarkEnd w:id="23"/>
      <w:bookmarkEnd w:id="24"/>
      <w:bookmarkEnd w:id="25"/>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rPr>
        <w:t>月球一直是人类向往的美丽的星球，从2007年发射嫦娥一号中国正式开启探月之旅，到嫦娥五号带着两公斤的珍宝——月壤顺利着陆地球，标志着中国的太空探索取得了非常巨大的成就。现代科技高速发展，人工智能、物联网、无人驾驶等技术日新月异。展望未来，月球开发势在必行，请带上你的机器人开始月球探索。</w:t>
      </w:r>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26" w:name="_Toc12650"/>
      <w:bookmarkStart w:id="27" w:name="_Toc7063"/>
      <w:bookmarkStart w:id="28" w:name="_Toc16294"/>
      <w:bookmarkStart w:id="29" w:name="_Toc8915"/>
      <w:r>
        <w:rPr>
          <w:rFonts w:hint="eastAsia" w:ascii="微软雅黑" w:hAnsi="微软雅黑" w:eastAsia="微软雅黑" w:cs="微软雅黑"/>
          <w:b w:val="0"/>
          <w:bCs w:val="0"/>
          <w:color w:val="auto"/>
          <w:sz w:val="28"/>
          <w:szCs w:val="28"/>
          <w:lang w:val="en-US" w:eastAsia="zh-CN"/>
        </w:rPr>
        <w:t>2.2比赛场地说明</w:t>
      </w:r>
      <w:bookmarkEnd w:id="26"/>
      <w:bookmarkEnd w:id="27"/>
      <w:bookmarkEnd w:id="28"/>
      <w:bookmarkEnd w:id="29"/>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比赛场地由比赛地图、赛台、AI 互联中枢、道具四个部分组成。比赛场地占地尺寸为 2400 mm</w:t>
      </w:r>
      <w:r>
        <w:rPr>
          <w:rFonts w:hint="eastAsia" w:ascii="微软雅黑" w:hAnsi="微软雅黑" w:eastAsia="微软雅黑" w:cs="微软雅黑"/>
          <w:color w:val="auto"/>
          <w:sz w:val="20"/>
          <w:szCs w:val="20"/>
          <w:lang w:val="en-US" w:eastAsia="zh-CN"/>
        </w:rPr>
        <w:t xml:space="preserve"> * </w:t>
      </w:r>
      <w:r>
        <w:rPr>
          <w:rFonts w:hint="eastAsia" w:ascii="微软雅黑" w:hAnsi="微软雅黑" w:eastAsia="微软雅黑" w:cs="微软雅黑"/>
          <w:color w:val="auto"/>
          <w:sz w:val="20"/>
          <w:szCs w:val="20"/>
        </w:rPr>
        <w:t>1200</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mm，AI</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互联中枢内置于赛台中，道具除灯带位于赛台侧面外，其他都置于比赛地图之上。</w:t>
      </w:r>
    </w:p>
    <w:p>
      <w:pPr>
        <w:pStyle w:val="10"/>
        <w:numPr>
          <w:ilvl w:val="0"/>
          <w:numId w:val="0"/>
        </w:numPr>
        <w:jc w:val="center"/>
        <w:rPr>
          <w:rFonts w:hint="eastAsia" w:ascii="微软雅黑" w:hAnsi="微软雅黑" w:eastAsia="微软雅黑" w:cs="微软雅黑"/>
          <w:color w:val="7F7F7F" w:themeColor="background1" w:themeShade="80"/>
          <w:sz w:val="20"/>
          <w:szCs w:val="20"/>
          <w:lang w:eastAsia="zh-CN"/>
        </w:rPr>
      </w:pPr>
      <w:r>
        <w:rPr>
          <w:rFonts w:hint="eastAsia" w:ascii="微软雅黑" w:hAnsi="微软雅黑" w:eastAsia="微软雅黑" w:cs="微软雅黑"/>
          <w:color w:val="7F7F7F" w:themeColor="background1" w:themeShade="80"/>
          <w:sz w:val="20"/>
          <w:szCs w:val="20"/>
          <w:lang w:eastAsia="zh-CN"/>
        </w:rPr>
        <w:drawing>
          <wp:inline distT="0" distB="0" distL="114300" distR="114300">
            <wp:extent cx="4406265" cy="8812530"/>
            <wp:effectExtent l="0" t="0" r="13335" b="11430"/>
            <wp:docPr id="3" name="图片 3" descr="D:\英荔\赛事运营\月球资源采集挑战赛\赛事规则\比赛包照片\赛台包\少年硅谷比赛地图0316-打印.jpg少年硅谷比赛地图0316-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英荔\赛事运营\月球资源采集挑战赛\赛事规则\比赛包照片\赛台包\少年硅谷比赛地图0316-打印.jpg少年硅谷比赛地图0316-打印"/>
                    <pic:cNvPicPr>
                      <a:picLocks noChangeAspect="1"/>
                    </pic:cNvPicPr>
                  </pic:nvPicPr>
                  <pic:blipFill>
                    <a:blip r:embed="rId7"/>
                    <a:srcRect/>
                    <a:stretch>
                      <a:fillRect/>
                    </a:stretch>
                  </pic:blipFill>
                  <pic:spPr>
                    <a:xfrm>
                      <a:off x="0" y="0"/>
                      <a:ext cx="4406265" cy="8812530"/>
                    </a:xfrm>
                    <a:prstGeom prst="rect">
                      <a:avLst/>
                    </a:prstGeom>
                  </pic:spPr>
                </pic:pic>
              </a:graphicData>
            </a:graphic>
          </wp:inline>
        </w:drawing>
      </w:r>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比赛地图多个功能区域说明：</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生活区：</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生活区</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启动区：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生活区</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。这里是机器人出发的唯一起点。</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侦测点：</w:t>
      </w:r>
      <w:r>
        <w:rPr>
          <w:rFonts w:hint="eastAsia" w:ascii="微软雅黑" w:hAnsi="微软雅黑" w:eastAsia="微软雅黑" w:cs="微软雅黑"/>
          <w:color w:val="auto"/>
          <w:sz w:val="20"/>
          <w:szCs w:val="20"/>
          <w:lang w:val="en-US" w:eastAsia="zh-CN"/>
        </w:rPr>
        <w:t>共有 4 个侦测点，搭配 4 片圆形 RFID 贴片。每场比赛抽取 2 片圆形 RFID 贴片粘贴在直径 26 mm 的白色圆形虚线框内。</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观测站：</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观测站</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将放置指示牌 1 </w:t>
      </w:r>
      <w:r>
        <w:rPr>
          <w:rFonts w:hint="eastAsia" w:ascii="微软雅黑" w:hAnsi="微软雅黑" w:eastAsia="微软雅黑" w:cs="微软雅黑"/>
          <w:color w:val="auto"/>
          <w:sz w:val="20"/>
          <w:szCs w:val="20"/>
        </w:rPr>
        <w:t>（A/B/C）</w:t>
      </w:r>
      <w:r>
        <w:rPr>
          <w:rFonts w:hint="eastAsia" w:ascii="微软雅黑" w:hAnsi="微软雅黑" w:eastAsia="微软雅黑" w:cs="微软雅黑"/>
          <w:color w:val="auto"/>
          <w:sz w:val="20"/>
          <w:szCs w:val="20"/>
          <w:lang w:val="en-US" w:eastAsia="zh-CN"/>
        </w:rPr>
        <w:t>字母卡片</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指示牌 1 支架底座放置在 56 mm * 40 mm 的黑色矩形虚线框内</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指挥所：</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指挥所</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指示灯操作区：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指挥所</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。是一个</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的橙色矩形区域，指示灯操作区白色框内放置</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1</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个魔方控制器。</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矿区：</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2</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「矿场」，</w:t>
      </w:r>
      <w:r>
        <w:rPr>
          <w:rFonts w:hint="eastAsia" w:ascii="微软雅黑" w:hAnsi="微软雅黑" w:eastAsia="微软雅黑" w:cs="微软雅黑"/>
          <w:color w:val="auto"/>
          <w:sz w:val="20"/>
          <w:szCs w:val="20"/>
        </w:rPr>
        <w:t>分别是矿场</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A</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、矿场</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B</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。每个矿场是</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的蓝色矩形区域。</w:t>
      </w:r>
      <w:r>
        <w:rPr>
          <w:rFonts w:hint="eastAsia" w:ascii="微软雅黑" w:hAnsi="微软雅黑" w:eastAsia="微软雅黑" w:cs="微软雅黑"/>
          <w:color w:val="auto"/>
          <w:sz w:val="20"/>
          <w:szCs w:val="20"/>
          <w:lang w:val="en-US" w:eastAsia="zh-CN"/>
        </w:rPr>
        <w:t>50 mm * 50 mm * 50 mm 的</w:t>
      </w:r>
      <w:r>
        <w:rPr>
          <w:rFonts w:hint="eastAsia" w:ascii="微软雅黑" w:hAnsi="微软雅黑" w:eastAsia="微软雅黑" w:cs="微软雅黑"/>
          <w:color w:val="auto"/>
          <w:sz w:val="20"/>
          <w:szCs w:val="20"/>
        </w:rPr>
        <w:t>黑色方块充当矿物</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rPr>
        <w:t>放置在矿场内</w:t>
      </w:r>
      <w:r>
        <w:rPr>
          <w:rFonts w:hint="eastAsia" w:ascii="微软雅黑" w:hAnsi="微软雅黑" w:eastAsia="微软雅黑" w:cs="微软雅黑"/>
          <w:color w:val="auto"/>
          <w:sz w:val="20"/>
          <w:szCs w:val="20"/>
          <w:lang w:val="en-US" w:eastAsia="zh-CN"/>
        </w:rPr>
        <w:t xml:space="preserve"> 50 mm * 50 mm 的</w:t>
      </w:r>
      <w:r>
        <w:rPr>
          <w:rFonts w:hint="eastAsia" w:ascii="微软雅黑" w:hAnsi="微软雅黑" w:eastAsia="微软雅黑" w:cs="微软雅黑"/>
          <w:color w:val="auto"/>
          <w:sz w:val="20"/>
          <w:szCs w:val="20"/>
        </w:rPr>
        <w:t>白色实线方框内。</w:t>
      </w:r>
    </w:p>
    <w:p>
      <w:pPr>
        <w:widowControl w:val="0"/>
        <w:numPr>
          <w:ilvl w:val="0"/>
          <w:numId w:val="0"/>
        </w:numPr>
        <w:ind w:leftChars="200"/>
        <w:jc w:val="both"/>
        <w:rPr>
          <w:rFonts w:hint="eastAsia" w:ascii="微软雅黑" w:hAnsi="微软雅黑" w:eastAsia="微软雅黑" w:cs="微软雅黑"/>
          <w:color w:val="7F7F7F" w:themeColor="background1" w:themeShade="80"/>
          <w:sz w:val="20"/>
          <w:szCs w:val="20"/>
          <w:lang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调度站：</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调度站</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调度站</w:t>
      </w:r>
      <w:r>
        <w:rPr>
          <w:rFonts w:hint="eastAsia" w:ascii="微软雅黑" w:hAnsi="微软雅黑" w:eastAsia="微软雅黑" w:cs="微软雅黑"/>
          <w:color w:val="auto"/>
          <w:sz w:val="20"/>
          <w:szCs w:val="20"/>
          <w:lang w:val="en-US" w:eastAsia="zh-CN"/>
        </w:rPr>
        <w:t>」内</w:t>
      </w:r>
      <w:r>
        <w:rPr>
          <w:rFonts w:hint="eastAsia" w:ascii="微软雅黑" w:hAnsi="微软雅黑" w:eastAsia="微软雅黑" w:cs="微软雅黑"/>
          <w:color w:val="auto"/>
          <w:sz w:val="20"/>
          <w:szCs w:val="20"/>
        </w:rPr>
        <w:t>放置左转或右转的指示牌</w:t>
      </w:r>
      <w:r>
        <w:rPr>
          <w:rFonts w:hint="eastAsia" w:ascii="微软雅黑" w:hAnsi="微软雅黑" w:eastAsia="微软雅黑" w:cs="微软雅黑"/>
          <w:color w:val="auto"/>
          <w:sz w:val="20"/>
          <w:szCs w:val="20"/>
          <w:lang w:val="en-US" w:eastAsia="zh-CN"/>
        </w:rPr>
        <w:t xml:space="preserve">  2  </w:t>
      </w:r>
      <w:r>
        <w:rPr>
          <w:rFonts w:hint="eastAsia" w:ascii="微软雅黑" w:hAnsi="微软雅黑" w:eastAsia="微软雅黑" w:cs="微软雅黑"/>
          <w:color w:val="auto"/>
          <w:sz w:val="20"/>
          <w:szCs w:val="20"/>
        </w:rPr>
        <w:t>，指示牌</w:t>
      </w:r>
      <w:r>
        <w:rPr>
          <w:rFonts w:hint="eastAsia" w:ascii="微软雅黑" w:hAnsi="微软雅黑" w:eastAsia="微软雅黑" w:cs="微软雅黑"/>
          <w:color w:val="auto"/>
          <w:sz w:val="20"/>
          <w:szCs w:val="20"/>
          <w:lang w:val="en-US" w:eastAsia="zh-CN"/>
        </w:rPr>
        <w:t>2 支架</w:t>
      </w:r>
      <w:r>
        <w:rPr>
          <w:rFonts w:hint="eastAsia" w:ascii="微软雅黑" w:hAnsi="微软雅黑" w:eastAsia="微软雅黑" w:cs="微软雅黑"/>
          <w:color w:val="auto"/>
          <w:sz w:val="20"/>
          <w:szCs w:val="20"/>
        </w:rPr>
        <w:t>底座放置在</w:t>
      </w:r>
      <w:r>
        <w:rPr>
          <w:rFonts w:hint="eastAsia" w:ascii="微软雅黑" w:hAnsi="微软雅黑" w:eastAsia="微软雅黑" w:cs="微软雅黑"/>
          <w:color w:val="auto"/>
          <w:sz w:val="20"/>
          <w:szCs w:val="20"/>
          <w:lang w:val="en-US" w:eastAsia="zh-CN"/>
        </w:rPr>
        <w:t xml:space="preserve"> 56 mm * 40 mm 的</w:t>
      </w:r>
      <w:r>
        <w:rPr>
          <w:rFonts w:hint="eastAsia" w:ascii="微软雅黑" w:hAnsi="微软雅黑" w:eastAsia="微软雅黑" w:cs="微软雅黑"/>
          <w:color w:val="auto"/>
          <w:sz w:val="20"/>
          <w:szCs w:val="20"/>
        </w:rPr>
        <w:t>黑色矩形虚线框内</w:t>
      </w:r>
      <w:r>
        <w:rPr>
          <w:rFonts w:hint="eastAsia" w:ascii="微软雅黑" w:hAnsi="微软雅黑" w:eastAsia="微软雅黑" w:cs="微软雅黑"/>
          <w:color w:val="auto"/>
          <w:sz w:val="20"/>
          <w:szCs w:val="20"/>
          <w:lang w:eastAsia="zh-CN"/>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冶炼厂：</w:t>
      </w:r>
      <w:r>
        <w:rPr>
          <w:rFonts w:hint="eastAsia" w:ascii="微软雅黑" w:hAnsi="微软雅黑" w:eastAsia="微软雅黑" w:cs="微软雅黑"/>
          <w:color w:val="auto"/>
          <w:sz w:val="20"/>
          <w:szCs w:val="20"/>
          <w:lang w:val="en-US" w:eastAsia="zh-CN"/>
        </w:rPr>
        <w:t>模拟月球基地的「</w:t>
      </w:r>
      <w:r>
        <w:rPr>
          <w:rFonts w:hint="eastAsia" w:ascii="微软雅黑" w:hAnsi="微软雅黑" w:eastAsia="微软雅黑" w:cs="微软雅黑"/>
          <w:color w:val="auto"/>
          <w:sz w:val="20"/>
          <w:szCs w:val="20"/>
        </w:rPr>
        <w:t>冶炼厂</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矿物放置区：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冶炼厂</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。是一个</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黄色</w:t>
      </w:r>
      <w:r>
        <w:rPr>
          <w:rFonts w:hint="eastAsia" w:ascii="微软雅黑" w:hAnsi="微软雅黑" w:eastAsia="微软雅黑" w:cs="微软雅黑"/>
          <w:color w:val="auto"/>
          <w:sz w:val="20"/>
          <w:szCs w:val="20"/>
        </w:rPr>
        <w:t>矩形区域，</w:t>
      </w:r>
      <w:r>
        <w:rPr>
          <w:rFonts w:hint="eastAsia" w:ascii="微软雅黑" w:hAnsi="微软雅黑" w:eastAsia="微软雅黑" w:cs="微软雅黑"/>
          <w:color w:val="auto"/>
          <w:sz w:val="20"/>
          <w:szCs w:val="20"/>
          <w:lang w:val="en-US" w:eastAsia="zh-CN"/>
        </w:rPr>
        <w:t>黄色矩形</w:t>
      </w:r>
      <w:r>
        <w:rPr>
          <w:rFonts w:hint="eastAsia" w:ascii="微软雅黑" w:hAnsi="微软雅黑" w:eastAsia="微软雅黑" w:cs="微软雅黑"/>
          <w:color w:val="auto"/>
          <w:sz w:val="20"/>
          <w:szCs w:val="20"/>
        </w:rPr>
        <w:t>框内放置</w:t>
      </w:r>
      <w:r>
        <w:rPr>
          <w:rFonts w:hint="eastAsia" w:ascii="微软雅黑" w:hAnsi="微软雅黑" w:eastAsia="微软雅黑" w:cs="微软雅黑"/>
          <w:color w:val="auto"/>
          <w:sz w:val="20"/>
          <w:szCs w:val="20"/>
          <w:lang w:val="en-US" w:eastAsia="zh-CN"/>
        </w:rPr>
        <w:t>从矿区搬运来的矿物</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中转站：</w:t>
      </w:r>
      <w:r>
        <w:rPr>
          <w:rFonts w:hint="eastAsia" w:ascii="微软雅黑" w:hAnsi="微软雅黑" w:eastAsia="微软雅黑" w:cs="微软雅黑"/>
          <w:color w:val="auto"/>
          <w:sz w:val="20"/>
          <w:szCs w:val="20"/>
          <w:lang w:val="en-US" w:eastAsia="zh-CN"/>
        </w:rPr>
        <w:t>模拟月球基地的「中转站」</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氦 3 ：</w:t>
      </w:r>
      <w:r>
        <w:rPr>
          <w:rFonts w:hint="eastAsia" w:ascii="微软雅黑" w:hAnsi="微软雅黑" w:eastAsia="微软雅黑" w:cs="微软雅黑"/>
          <w:color w:val="auto"/>
          <w:sz w:val="20"/>
          <w:szCs w:val="20"/>
          <w:lang w:val="en-US" w:eastAsia="zh-CN"/>
        </w:rPr>
        <w:t>该区域位于「中转站」。共有 3 个 150 mm * 100 mm 的蓝色矩形区域，50 mm * 50 mm * 50mm 的白色方块充当氦 3 ，</w:t>
      </w:r>
      <w:r>
        <w:rPr>
          <w:rFonts w:hint="eastAsia" w:ascii="微软雅黑" w:hAnsi="微软雅黑" w:eastAsia="微软雅黑" w:cs="微软雅黑"/>
          <w:color w:val="auto"/>
          <w:sz w:val="20"/>
          <w:szCs w:val="20"/>
        </w:rPr>
        <w:t>放置在</w:t>
      </w:r>
      <w:r>
        <w:rPr>
          <w:rFonts w:hint="eastAsia" w:ascii="微软雅黑" w:hAnsi="微软雅黑" w:eastAsia="微软雅黑" w:cs="微软雅黑"/>
          <w:color w:val="auto"/>
          <w:sz w:val="20"/>
          <w:szCs w:val="20"/>
          <w:lang w:val="en-US" w:eastAsia="zh-CN"/>
        </w:rPr>
        <w:t>蓝色矩形区域</w:t>
      </w:r>
      <w:r>
        <w:rPr>
          <w:rFonts w:hint="eastAsia" w:ascii="微软雅黑" w:hAnsi="微软雅黑" w:eastAsia="微软雅黑" w:cs="微软雅黑"/>
          <w:color w:val="auto"/>
          <w:sz w:val="20"/>
          <w:szCs w:val="20"/>
        </w:rPr>
        <w:t>内</w:t>
      </w:r>
      <w:r>
        <w:rPr>
          <w:rFonts w:hint="eastAsia" w:ascii="微软雅黑" w:hAnsi="微软雅黑" w:eastAsia="微软雅黑" w:cs="微软雅黑"/>
          <w:color w:val="auto"/>
          <w:sz w:val="20"/>
          <w:szCs w:val="20"/>
          <w:lang w:val="en-US" w:eastAsia="zh-CN"/>
        </w:rPr>
        <w:t xml:space="preserve"> 50 mm * 50 mm 的</w:t>
      </w:r>
      <w:r>
        <w:rPr>
          <w:rFonts w:hint="eastAsia" w:ascii="微软雅黑" w:hAnsi="微软雅黑" w:eastAsia="微软雅黑" w:cs="微软雅黑"/>
          <w:color w:val="auto"/>
          <w:sz w:val="20"/>
          <w:szCs w:val="20"/>
        </w:rPr>
        <w:t>白色实线方框内</w:t>
      </w:r>
      <w:r>
        <w:rPr>
          <w:rFonts w:hint="eastAsia" w:ascii="微软雅黑" w:hAnsi="微软雅黑" w:eastAsia="微软雅黑" w:cs="微软雅黑"/>
          <w:color w:val="auto"/>
          <w:sz w:val="20"/>
          <w:szCs w:val="20"/>
          <w:lang w:val="en-US" w:eastAsia="zh-CN"/>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物流中心：</w:t>
      </w:r>
      <w:r>
        <w:rPr>
          <w:rFonts w:hint="eastAsia" w:ascii="微软雅黑" w:hAnsi="微软雅黑" w:eastAsia="微软雅黑" w:cs="微软雅黑"/>
          <w:color w:val="auto"/>
          <w:sz w:val="20"/>
          <w:szCs w:val="20"/>
          <w:lang w:val="en-US" w:eastAsia="zh-CN"/>
        </w:rPr>
        <w:t>模拟月球基地的「物流中心」</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仓库：</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3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「仓库」</w:t>
      </w:r>
      <w:r>
        <w:rPr>
          <w:rFonts w:hint="eastAsia" w:ascii="微软雅黑" w:hAnsi="微软雅黑" w:eastAsia="微软雅黑" w:cs="微软雅黑"/>
          <w:color w:val="auto"/>
          <w:sz w:val="20"/>
          <w:szCs w:val="20"/>
        </w:rPr>
        <w:t>，分别是</w:t>
      </w:r>
      <w:r>
        <w:rPr>
          <w:rFonts w:hint="eastAsia" w:ascii="微软雅黑" w:hAnsi="微软雅黑" w:eastAsia="微软雅黑" w:cs="微软雅黑"/>
          <w:color w:val="auto"/>
          <w:sz w:val="20"/>
          <w:szCs w:val="20"/>
          <w:lang w:val="en-US" w:eastAsia="zh-CN"/>
        </w:rPr>
        <w:t xml:space="preserve">仓库 </w:t>
      </w:r>
      <w:r>
        <w:rPr>
          <w:rFonts w:hint="eastAsia" w:ascii="微软雅黑" w:hAnsi="微软雅黑" w:eastAsia="微软雅黑" w:cs="微软雅黑"/>
          <w:color w:val="auto"/>
          <w:sz w:val="20"/>
          <w:szCs w:val="20"/>
        </w:rPr>
        <w:t>A</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仓库 </w:t>
      </w:r>
      <w:r>
        <w:rPr>
          <w:rFonts w:hint="eastAsia" w:ascii="微软雅黑" w:hAnsi="微软雅黑" w:eastAsia="微软雅黑" w:cs="微软雅黑"/>
          <w:color w:val="auto"/>
          <w:sz w:val="20"/>
          <w:szCs w:val="20"/>
        </w:rPr>
        <w:t>B</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 xml:space="preserve">仓库 C </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每个仓库是 150 mm * 100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黄色</w:t>
      </w:r>
      <w:r>
        <w:rPr>
          <w:rFonts w:hint="eastAsia" w:ascii="微软雅黑" w:hAnsi="微软雅黑" w:eastAsia="微软雅黑" w:cs="微软雅黑"/>
          <w:color w:val="auto"/>
          <w:sz w:val="20"/>
          <w:szCs w:val="20"/>
        </w:rPr>
        <w:t>矩形区域，放置</w:t>
      </w:r>
      <w:r>
        <w:rPr>
          <w:rFonts w:hint="eastAsia" w:ascii="微软雅黑" w:hAnsi="微软雅黑" w:eastAsia="微软雅黑" w:cs="微软雅黑"/>
          <w:color w:val="auto"/>
          <w:sz w:val="20"/>
          <w:szCs w:val="20"/>
          <w:lang w:val="en-US" w:eastAsia="zh-CN"/>
        </w:rPr>
        <w:t>从中转站搬运过来的</w:t>
      </w:r>
      <w:r>
        <w:rPr>
          <w:rFonts w:hint="eastAsia" w:ascii="微软雅黑" w:hAnsi="微软雅黑" w:eastAsia="微软雅黑" w:cs="微软雅黑"/>
          <w:color w:val="auto"/>
          <w:sz w:val="20"/>
          <w:szCs w:val="20"/>
        </w:rPr>
        <w:t>氦</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3</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仓库灯：</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3</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 xml:space="preserve">直径 40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灰色圆形</w:t>
      </w:r>
      <w:r>
        <w:rPr>
          <w:rFonts w:hint="eastAsia" w:ascii="微软雅黑" w:hAnsi="微软雅黑" w:eastAsia="微软雅黑" w:cs="微软雅黑"/>
          <w:color w:val="auto"/>
          <w:sz w:val="20"/>
          <w:szCs w:val="20"/>
        </w:rPr>
        <w:t>区域，用于</w:t>
      </w:r>
      <w:r>
        <w:rPr>
          <w:rFonts w:hint="eastAsia" w:ascii="微软雅黑" w:hAnsi="微软雅黑" w:eastAsia="微软雅黑" w:cs="微软雅黑"/>
          <w:color w:val="auto"/>
          <w:sz w:val="20"/>
          <w:szCs w:val="20"/>
          <w:lang w:val="en-US" w:eastAsia="zh-CN"/>
        </w:rPr>
        <w:t>放置仓库A/B/C灯。</w:t>
      </w:r>
    </w:p>
    <w:p>
      <w:pPr>
        <w:widowControl w:val="0"/>
        <w:numPr>
          <w:ilvl w:val="0"/>
          <w:numId w:val="0"/>
        </w:numPr>
        <w:ind w:left="620" w:leftChars="200" w:hanging="200" w:hangingChars="1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终点：</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后门</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将放置门磁感应器</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门磁感应器支架底座放置在80 mm * 56 mm 的黑色矩形虚线框内</w:t>
      </w:r>
      <w:r>
        <w:rPr>
          <w:rFonts w:hint="eastAsia" w:ascii="微软雅黑" w:hAnsi="微软雅黑" w:eastAsia="微软雅黑" w:cs="微软雅黑"/>
          <w:color w:val="auto"/>
          <w:sz w:val="20"/>
          <w:szCs w:val="20"/>
        </w:rPr>
        <w:t>。</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30" w:name="_Toc24333"/>
      <w:bookmarkStart w:id="31" w:name="_Toc30112"/>
      <w:bookmarkStart w:id="32" w:name="_Toc20861"/>
      <w:bookmarkStart w:id="33" w:name="_Toc10212"/>
      <w:bookmarkStart w:id="34" w:name="_Toc8465"/>
      <w:bookmarkStart w:id="35" w:name="_Toc32065"/>
      <w:bookmarkStart w:id="36" w:name="_Toc25103"/>
      <w:r>
        <w:rPr>
          <w:rFonts w:hint="eastAsia" w:ascii="微软雅黑" w:hAnsi="微软雅黑" w:eastAsia="微软雅黑" w:cs="微软雅黑"/>
          <w:b w:val="0"/>
          <w:bCs w:val="0"/>
          <w:sz w:val="28"/>
          <w:szCs w:val="28"/>
          <w:lang w:val="en-US" w:eastAsia="zh-CN"/>
        </w:rPr>
        <w:t>2.3小学组比赛任务及得分说明</w:t>
      </w:r>
      <w:bookmarkEnd w:id="30"/>
      <w:bookmarkEnd w:id="31"/>
      <w:bookmarkEnd w:id="32"/>
      <w:bookmarkEnd w:id="33"/>
      <w:bookmarkEnd w:id="34"/>
      <w:bookmarkEnd w:id="35"/>
      <w:bookmarkEnd w:id="36"/>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37" w:name="_Toc13706"/>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任务一：启动，点亮基地</w:t>
      </w:r>
      <w:bookmarkEnd w:id="37"/>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机器人从启动区出发，路过摄像头区域，通过扫描机器人身上识别卡（红/绿/蓝，比赛前随机抽取后安置到机器人身上）点亮赛台两边的灯带，并显示识别卡上的颜色。</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点亮两边灯带，且颜色正确，亮起时间超过  30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38" w:name="_Toc22758"/>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任务二：出发，获取计划</w:t>
      </w:r>
      <w:bookmarkEnd w:id="38"/>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机器人识别指示牌 1 上的字母（ A / B / C ，比赛前随机抽取），并在机载显示设备上显示对应字母。</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信息显示正确且时间超过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39" w:name="_Toc27547"/>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任务三：开灯，召唤飞船</w:t>
      </w:r>
      <w:bookmarkEnd w:id="39"/>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机器人通过触发魔方控制器让仓库灯全部点亮成绿色。</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仓库A/B/C灯均亮绿色。否则不得分。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20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0" w:name="_Toc22542"/>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任务四：前进，收集数据</w:t>
      </w:r>
      <w:bookmarkEnd w:id="40"/>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在赛道旁，有 4 个侦测点，其中 2 个位置贴有圆形 RFID 贴片（位置由赛前抽取决定）。机器人读取圆形 RFID 贴片的数字，并将获取到的数字在机载显示设备上显示出来。</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得分状态①：</w:t>
      </w:r>
      <w:r>
        <w:rPr>
          <w:rFonts w:hint="eastAsia" w:ascii="微软雅黑" w:hAnsi="微软雅黑" w:eastAsia="微软雅黑" w:cs="微软雅黑"/>
          <w:color w:val="auto"/>
          <w:sz w:val="20"/>
          <w:szCs w:val="20"/>
          <w:lang w:val="en-US" w:eastAsia="zh-CN"/>
        </w:rPr>
        <w:t>正确显示一个数字，显示不少于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5 分。</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得分状态②：</w:t>
      </w:r>
      <w:r>
        <w:rPr>
          <w:rFonts w:hint="eastAsia" w:ascii="微软雅黑" w:hAnsi="微软雅黑" w:eastAsia="微软雅黑" w:cs="微软雅黑"/>
          <w:color w:val="auto"/>
          <w:sz w:val="20"/>
          <w:szCs w:val="20"/>
          <w:lang w:val="en-US" w:eastAsia="zh-CN"/>
        </w:rPr>
        <w:t>正确显示两个数字，显示不少于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1" w:name="_Toc5167"/>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任务五：采集，运回矿物</w:t>
      </w:r>
      <w:bookmarkEnd w:id="41"/>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机器人将矿场 A 处的矿物积木块移动到冶炼厂。</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积木块完全进入指定区域，否则不得分。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15 分。</w:t>
      </w:r>
    </w:p>
    <w:p>
      <w:pPr>
        <w:pStyle w:val="10"/>
        <w:numPr>
          <w:ilvl w:val="0"/>
          <w:numId w:val="0"/>
        </w:numPr>
        <w:ind w:leftChars="200"/>
        <w:jc w:val="both"/>
        <w:rPr>
          <w:rFonts w:hint="default"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图示：</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7F7F7F" w:themeColor="background1" w:themeShade="80"/>
          <w:sz w:val="20"/>
          <w:szCs w:val="20"/>
          <w:lang w:val="en-US" w:eastAsia="zh-CN"/>
        </w:rPr>
        <w:drawing>
          <wp:inline distT="0" distB="0" distL="114300" distR="114300">
            <wp:extent cx="5241925" cy="1237615"/>
            <wp:effectExtent l="0" t="0" r="635" b="12065"/>
            <wp:docPr id="60" name="图片 60" descr="规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规则1"/>
                    <pic:cNvPicPr>
                      <a:picLocks noChangeAspect="1"/>
                    </pic:cNvPicPr>
                  </pic:nvPicPr>
                  <pic:blipFill>
                    <a:blip r:embed="rId8"/>
                    <a:stretch>
                      <a:fillRect/>
                    </a:stretch>
                  </pic:blipFill>
                  <pic:spPr>
                    <a:xfrm>
                      <a:off x="0" y="0"/>
                      <a:ext cx="5241925" cy="1237615"/>
                    </a:xfrm>
                    <a:prstGeom prst="rect">
                      <a:avLst/>
                    </a:prstGeom>
                  </pic:spPr>
                </pic:pic>
              </a:graphicData>
            </a:graphic>
          </wp:inline>
        </w:drawing>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2" w:name="_Toc19919"/>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任务六：调库，准备发货</w:t>
      </w:r>
      <w:bookmarkEnd w:id="42"/>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机器人将氦 3 积木块移动到任意仓库内（可以直接放置，也可以堆叠；可以放到一个仓库，也可以放到多个仓库）。</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氦 3 完全进入仓库，每个氦 3 得 10 分，累计为最终得分。满分 30 分。</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注意：</w:t>
      </w:r>
      <w:r>
        <w:rPr>
          <w:rFonts w:hint="eastAsia" w:ascii="微软雅黑" w:hAnsi="微软雅黑" w:eastAsia="微软雅黑" w:cs="微软雅黑"/>
          <w:color w:val="auto"/>
          <w:sz w:val="20"/>
          <w:szCs w:val="20"/>
          <w:lang w:val="en-US" w:eastAsia="zh-CN"/>
        </w:rPr>
        <w:t>第二层与第三层根据投影是否完全在框内进行判别是否得分。</w:t>
      </w: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图示：</w:t>
      </w: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eastAsia" w:ascii="微软雅黑" w:hAnsi="微软雅黑" w:eastAsia="微软雅黑" w:cs="微软雅黑"/>
          <w:color w:val="7F7F7F" w:themeColor="background1" w:themeShade="80"/>
          <w:sz w:val="20"/>
          <w:szCs w:val="20"/>
          <w:lang w:val="en-US" w:eastAsia="zh-CN"/>
        </w:rPr>
        <w:drawing>
          <wp:inline distT="0" distB="0" distL="114300" distR="114300">
            <wp:extent cx="5240020" cy="1127125"/>
            <wp:effectExtent l="0" t="0" r="2540" b="635"/>
            <wp:docPr id="61" name="图片 61" descr="规则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规则6"/>
                    <pic:cNvPicPr>
                      <a:picLocks noChangeAspect="1"/>
                    </pic:cNvPicPr>
                  </pic:nvPicPr>
                  <pic:blipFill>
                    <a:blip r:embed="rId9"/>
                    <a:stretch>
                      <a:fillRect/>
                    </a:stretch>
                  </pic:blipFill>
                  <pic:spPr>
                    <a:xfrm>
                      <a:off x="0" y="0"/>
                      <a:ext cx="5240020" cy="1127125"/>
                    </a:xfrm>
                    <a:prstGeom prst="rect">
                      <a:avLst/>
                    </a:prstGeom>
                  </pic:spPr>
                </pic:pic>
              </a:graphicData>
            </a:graphic>
          </wp:inline>
        </w:drawing>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3" w:name="_Toc16280"/>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任务七：完工，冲过终点</w:t>
      </w:r>
      <w:bookmarkEnd w:id="43"/>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机器人来到终点，触发门磁传感器，关闭赛台两侧的灯带。</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机器人推开终点门磁的栏杆后，赛台两侧的灯带全部熄灭。否则不得分。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5 分。</w:t>
      </w:r>
    </w:p>
    <w:p>
      <w:pPr>
        <w:pStyle w:val="10"/>
        <w:numPr>
          <w:ilvl w:val="0"/>
          <w:numId w:val="0"/>
        </w:numPr>
        <w:ind w:left="420" w:leftChars="200"/>
        <w:jc w:val="both"/>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注意：</w:t>
      </w:r>
    </w:p>
    <w:p>
      <w:pPr>
        <w:pStyle w:val="10"/>
        <w:numPr>
          <w:ilvl w:val="0"/>
          <w:numId w:val="0"/>
        </w:numPr>
        <w:ind w:left="420"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 单场比赛限制时间为 5 分钟，以裁判计时为准。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 任务一、任务二、任务三、任务四、任务七为即时得分，完成任务即得分，如果已经完成的任务结果被机器人或参赛队员在得分后破坏了，不影响该任务得分。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 任务五、任务六为最终状态得分，每场比赛结束后，根据场地上完成任务情况来判定分数，如果已经完成的任务结果被机器人或参赛队员在比赛结束前意外破坏了，该任务不得分。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4. 每支队伍参加两场比赛，两次得分取高分计入成绩。比赛规则会根据现场实际情况进行调整，以现场组委会公布规则为准。</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44" w:name="_Toc31035"/>
      <w:bookmarkStart w:id="45" w:name="_Toc13238"/>
      <w:bookmarkStart w:id="46" w:name="_Toc5169"/>
      <w:bookmarkStart w:id="47" w:name="_Toc30609"/>
      <w:r>
        <w:rPr>
          <w:rFonts w:hint="eastAsia" w:ascii="微软雅黑" w:hAnsi="微软雅黑" w:eastAsia="微软雅黑" w:cs="微软雅黑"/>
          <w:b w:val="0"/>
          <w:bCs w:val="0"/>
          <w:sz w:val="28"/>
          <w:szCs w:val="28"/>
          <w:lang w:val="en-US" w:eastAsia="zh-CN"/>
        </w:rPr>
        <w:t>2.4比赛器材技术规范</w:t>
      </w:r>
      <w:bookmarkEnd w:id="44"/>
      <w:bookmarkEnd w:id="45"/>
      <w:bookmarkEnd w:id="46"/>
      <w:bookmarkEnd w:id="47"/>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机器人尺寸要求：</w:t>
      </w:r>
      <w:r>
        <w:rPr>
          <w:rFonts w:hint="eastAsia" w:ascii="微软雅黑" w:hAnsi="微软雅黑" w:eastAsia="微软雅黑" w:cs="微软雅黑"/>
          <w:color w:val="auto"/>
          <w:sz w:val="20"/>
          <w:szCs w:val="20"/>
          <w:lang w:val="en-US" w:eastAsia="zh-CN"/>
        </w:rPr>
        <w:t>长不得超过 35 cm，宽不得超过 25 cm。 高度和最大延展尺寸不做要求。</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控制器：</w:t>
      </w:r>
      <w:r>
        <w:rPr>
          <w:rFonts w:hint="eastAsia" w:ascii="微软雅黑" w:hAnsi="微软雅黑" w:eastAsia="微软雅黑" w:cs="微软雅黑"/>
          <w:color w:val="auto"/>
          <w:sz w:val="20"/>
          <w:szCs w:val="20"/>
          <w:lang w:val="en-US" w:eastAsia="zh-CN"/>
        </w:rPr>
        <w:t xml:space="preserve">机器人只允许使用一块 micro:bit 主板（防止战队使用部分高性能主板破坏比赛公平性）。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电机：</w:t>
      </w:r>
      <w:r>
        <w:rPr>
          <w:rFonts w:hint="eastAsia" w:ascii="微软雅黑" w:hAnsi="微软雅黑" w:eastAsia="微软雅黑" w:cs="微软雅黑"/>
          <w:color w:val="auto"/>
          <w:sz w:val="20"/>
          <w:szCs w:val="20"/>
          <w:lang w:val="en-US" w:eastAsia="zh-CN"/>
        </w:rPr>
        <w:t xml:space="preserve">每台机器人只允许使用不超过4 个电机，且在 3V 电压下最高转速 不大于 90 r/min，最大扭矩不大于 500 g.cm；每台机器人只允许使用不超过三个舵机，舵机的最大扭矩不大于 1.8 kg.cm。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4、每支战队必须拥有一个战队编号作为战队的唯一识别符号。战队编号为比赛器材包上的序列号。 </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48" w:name="_Toc18101"/>
      <w:bookmarkStart w:id="49" w:name="_Toc23528"/>
      <w:bookmarkStart w:id="50" w:name="_Toc31827"/>
      <w:bookmarkStart w:id="51" w:name="_Toc19091"/>
      <w:bookmarkStart w:id="52" w:name="_Toc2112"/>
      <w:bookmarkStart w:id="53" w:name="_Toc2314"/>
      <w:r>
        <w:rPr>
          <w:rFonts w:hint="eastAsia" w:ascii="微软雅黑" w:hAnsi="微软雅黑" w:eastAsia="微软雅黑" w:cs="微软雅黑"/>
          <w:b w:val="0"/>
          <w:bCs w:val="0"/>
          <w:sz w:val="28"/>
          <w:szCs w:val="28"/>
          <w:lang w:val="en-US" w:eastAsia="zh-CN"/>
        </w:rPr>
        <w:t>2.5违规情况说明</w:t>
      </w:r>
      <w:bookmarkEnd w:id="48"/>
      <w:bookmarkEnd w:id="49"/>
      <w:bookmarkEnd w:id="50"/>
      <w:bookmarkEnd w:id="51"/>
      <w:bookmarkEnd w:id="52"/>
      <w:bookmarkEnd w:id="53"/>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 比赛过程中，参赛队员严禁直接接触场地道具。每次参赛队员直接接触场地道具都视为违例，且该得分道具失效，不计入得分。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 裁判在发现参赛队伍做出相应违例现象后，立即向参赛队伍宣布违例，第一次违例裁判给参赛队伍口头警告，之后每次违例扣 5 分。</w:t>
      </w:r>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54" w:name="_Toc5821"/>
      <w:bookmarkStart w:id="55" w:name="_Toc11464"/>
      <w:bookmarkStart w:id="56" w:name="_Toc15690"/>
      <w:bookmarkStart w:id="57" w:name="_Toc21423"/>
      <w:r>
        <w:rPr>
          <w:rFonts w:hint="eastAsia" w:ascii="微软雅黑" w:hAnsi="微软雅黑" w:eastAsia="微软雅黑" w:cs="微软雅黑"/>
          <w:b w:val="0"/>
          <w:bCs w:val="0"/>
          <w:color w:val="auto"/>
          <w:sz w:val="28"/>
          <w:szCs w:val="28"/>
          <w:lang w:val="en-US" w:eastAsia="zh-CN"/>
        </w:rPr>
        <w:t>2.6单场比赛流程</w:t>
      </w:r>
      <w:bookmarkEnd w:id="54"/>
      <w:bookmarkEnd w:id="55"/>
      <w:bookmarkEnd w:id="56"/>
      <w:bookmarkEnd w:id="57"/>
    </w:p>
    <w:p>
      <w:pPr>
        <w:pStyle w:val="10"/>
        <w:numPr>
          <w:ilvl w:val="0"/>
          <w:numId w:val="1"/>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调试（参赛队员在调试区完成机器人调试，保证机器人能正常完成任务。）</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2、准备（参赛队员上场后，用自带笔记本电脑连接场地互联中枢及摄像头。）</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3、抽签（参赛队员在裁判主持下完成任务抽签并签字确认。）</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4、检查（参赛队员将机器人放到启动区内，并检查场地道具是否正确摆放。）</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5、检录（裁判最终检查参赛队所携带的器材是否符合组委会相关规定与要求。）</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6、开始（裁判确认参赛队已准备好后，将发出启动口令，并同时开始计时。）</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注意：</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1、机器人的编程与调试需要在调试区进行。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2、参赛队的学生队员检录后方能进入准备区。裁判对参赛队携带的器材进行检查，所用器材必须符合组委会相关规定与要求。</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3、参赛队在每轮比赛结束后，允许在准备区简单地维修机器人和修改控制程序，但不能打乱下一轮出场次序。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4、准备上场时，队员携带自己的机器人和电脑，在引导员带领下进入比赛区。在规定时间内未到场的参赛队将被视为弃权。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5、上场的队员，站立在待命区附近。裁判对参赛机器人再次检录确认，不满足要求的机器人，裁判要求参赛队放弃本场比赛，比赛得零分。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6、队员将自己的机器人放入启动区。机器人的任何部分及其在地面的投影不能超出启动区。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7、到场的参赛队员应抓紧时间（不超过 5 分钟）做好启动前的准备工作，检查场地道具是否正确摆放，完成电脑与赛场 AI 互联中枢、USB 摄像头、灯带、指示灯等道具的连接。完成准备工作并检查确认后，队员应向裁判示意可以开始比赛。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8、裁判确认参赛队已准备好后，将发出“3，2，1，开始”的倒计时启动口令并开始计时。9、听到“开始”命令，队员可以触碰一个按键或给传感器一个信号去启动机器人。 在“开始”命令前启动机器人将被视为“误启动”并被判违例。机器人一旦启动，就只能受机器人自带的控制器中的程序控制。队员在未经裁判允许同意的情况下不得接触机器人，否则将被判违例。启动后的机器人如因速度过快或程序错误将导致道具离开场地，该道具不得再回到场上。 </w:t>
      </w:r>
    </w:p>
    <w:p>
      <w:pPr>
        <w:pStyle w:val="10"/>
        <w:numPr>
          <w:ilvl w:val="0"/>
          <w:numId w:val="0"/>
        </w:numPr>
        <w:ind w:leftChars="200"/>
        <w:jc w:val="both"/>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auto"/>
          <w:sz w:val="20"/>
          <w:szCs w:val="20"/>
          <w:lang w:val="en-US" w:eastAsia="zh-CN"/>
        </w:rPr>
        <w:t>10、</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机器人在运行中如果出现故障或未完成某项任务，参赛队员必须向裁判举手并喊出“请求重启”申请重启，在裁判喊出“同意重启”后，此时参赛队员可以将机器人拿回启动区重新启动。未经裁判同意，队员重启机器人，将被判违例。裁判同意重启后，场地状态保持不变。每场比赛重新启动的次数不限。 重新启动期间计时不停止，也不重新开始计时。重启前机器人已完成的任务有效。</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auto"/>
          <w:sz w:val="20"/>
          <w:szCs w:val="20"/>
          <w:lang w:val="en-US" w:eastAsia="zh-CN"/>
        </w:rPr>
        <w:t>11、每场比赛时间为 5 分钟。</w:t>
      </w:r>
      <w:r>
        <w:rPr>
          <w:rFonts w:hint="eastAsia" w:ascii="微软雅黑" w:hAnsi="微软雅黑" w:eastAsia="微软雅黑" w:cs="微软雅黑"/>
          <w:color w:val="7F7F7F" w:themeColor="background1" w:themeShade="80"/>
          <w:sz w:val="20"/>
          <w:szCs w:val="20"/>
          <w:lang w:val="en-US" w:eastAsia="zh-CN"/>
        </w:rPr>
        <w:t xml:space="preserve">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12、参赛队在完成一些任务后，如不准备继续比赛，两名队员一起向裁判喊出“提前结束比赛”，裁判据此停止计时，结束比赛；否则，等待裁判的终场哨音。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13、裁判吹响终场哨音后，参赛队员应关断机器人的电源，结束比赛。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14、比赛结束 5 分钟内，裁判将记分结果告知参赛队员，两名参赛队员同时签字确认已经知晓自己的得分。参赛队员有权利纠正裁判记分操作中可能的错误，如有争议应提请裁判长仲裁。</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15、参赛队员将场地恢复到启动前状态，并将自己的机器人带出比赛区。</w:t>
      </w:r>
    </w:p>
    <w:p>
      <w:pPr>
        <w:spacing w:line="360" w:lineRule="auto"/>
        <w:outlineLvl w:val="0"/>
        <w:rPr>
          <w:rFonts w:ascii="宋体" w:hAnsi="宋体" w:eastAsia="宋体" w:cs="宋体"/>
          <w:b/>
          <w:bCs/>
          <w:kern w:val="0"/>
          <w:sz w:val="24"/>
          <w:szCs w:val="24"/>
        </w:rPr>
      </w:pPr>
      <w:bookmarkStart w:id="58" w:name="_Toc24290"/>
      <w:r>
        <w:rPr>
          <w:rFonts w:hint="eastAsia" w:ascii="宋体" w:hAnsi="宋体" w:eastAsia="宋体" w:cs="宋体"/>
          <w:b/>
          <w:bCs/>
          <w:kern w:val="0"/>
          <w:sz w:val="24"/>
          <w:szCs w:val="24"/>
        </w:rPr>
        <w:t>附录</w:t>
      </w:r>
      <w:r>
        <w:rPr>
          <w:rFonts w:hint="eastAsia" w:ascii="宋体" w:hAnsi="宋体" w:eastAsia="宋体" w:cs="宋体"/>
          <w:b/>
          <w:bCs/>
          <w:kern w:val="0"/>
          <w:sz w:val="24"/>
          <w:szCs w:val="24"/>
          <w:lang w:val="en-US" w:eastAsia="zh-CN"/>
        </w:rPr>
        <w:t>一</w:t>
      </w:r>
      <w:r>
        <w:rPr>
          <w:rFonts w:hint="eastAsia" w:ascii="宋体" w:hAnsi="宋体" w:eastAsia="宋体" w:cs="宋体"/>
          <w:b/>
          <w:bCs/>
          <w:kern w:val="0"/>
          <w:sz w:val="24"/>
          <w:szCs w:val="24"/>
        </w:rPr>
        <w:t>：比赛过程评分表（小学组）</w:t>
      </w:r>
      <w:bookmarkEnd w:id="58"/>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07"/>
        <w:gridCol w:w="731"/>
        <w:gridCol w:w="109"/>
        <w:gridCol w:w="1118"/>
        <w:gridCol w:w="1295"/>
        <w:gridCol w:w="1123"/>
        <w:gridCol w:w="22"/>
        <w:gridCol w:w="1183"/>
        <w:gridCol w:w="19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3866" w:type="pct"/>
            <w:gridSpan w:val="8"/>
          </w:tcPr>
          <w:p>
            <w:pPr>
              <w:spacing w:line="360" w:lineRule="auto"/>
              <w:jc w:val="cente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月球资源采集</w:t>
            </w:r>
            <w:r>
              <w:rPr>
                <w:rFonts w:hint="eastAsia" w:ascii="宋体" w:hAnsi="宋体" w:eastAsia="宋体" w:cs="宋体"/>
                <w:sz w:val="24"/>
                <w:szCs w:val="24"/>
              </w:rPr>
              <w:t>挑战赛记分表-小学组</w:t>
            </w:r>
          </w:p>
        </w:tc>
        <w:tc>
          <w:tcPr>
            <w:tcW w:w="1134" w:type="pct"/>
          </w:tcPr>
          <w:p>
            <w:pPr>
              <w:spacing w:line="360" w:lineRule="auto"/>
              <w:jc w:val="center"/>
              <w:rPr>
                <w:rFonts w:ascii="宋体" w:hAnsi="宋体" w:eastAsia="宋体" w:cs="宋体"/>
                <w:sz w:val="24"/>
                <w:szCs w:val="24"/>
              </w:rPr>
            </w:pPr>
            <w:r>
              <w:rPr>
                <w:rFonts w:hint="eastAsia" w:ascii="宋体" w:hAnsi="宋体" w:eastAsia="宋体" w:cs="宋体"/>
                <w:sz w:val="24"/>
                <w:szCs w:val="24"/>
              </w:rPr>
              <w:t>第___轮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591" w:type="pct"/>
            <w:shd w:val="clear" w:color="auto" w:fill="auto"/>
          </w:tcPr>
          <w:p>
            <w:pPr>
              <w:spacing w:line="360" w:lineRule="auto"/>
              <w:jc w:val="center"/>
              <w:rPr>
                <w:rFonts w:ascii="宋体" w:hAnsi="宋体" w:eastAsia="宋体" w:cs="宋体"/>
                <w:sz w:val="24"/>
                <w:szCs w:val="24"/>
              </w:rPr>
            </w:pPr>
            <w:r>
              <w:rPr>
                <w:rFonts w:hint="eastAsia" w:ascii="宋体" w:hAnsi="宋体" w:eastAsia="宋体" w:cs="宋体"/>
                <w:sz w:val="24"/>
                <w:szCs w:val="24"/>
              </w:rPr>
              <w:t>编号</w:t>
            </w:r>
          </w:p>
        </w:tc>
        <w:tc>
          <w:tcPr>
            <w:tcW w:w="493" w:type="pct"/>
            <w:gridSpan w:val="2"/>
            <w:shd w:val="clear" w:color="auto" w:fill="auto"/>
          </w:tcPr>
          <w:p>
            <w:pPr>
              <w:spacing w:line="360" w:lineRule="auto"/>
              <w:jc w:val="center"/>
              <w:rPr>
                <w:rFonts w:ascii="宋体" w:hAnsi="宋体" w:eastAsia="宋体" w:cs="宋体"/>
                <w:sz w:val="24"/>
                <w:szCs w:val="24"/>
              </w:rPr>
            </w:pPr>
          </w:p>
        </w:tc>
        <w:tc>
          <w:tcPr>
            <w:tcW w:w="656" w:type="pct"/>
            <w:shd w:val="clear" w:color="auto" w:fill="auto"/>
          </w:tcPr>
          <w:p>
            <w:pPr>
              <w:spacing w:line="360" w:lineRule="auto"/>
              <w:jc w:val="center"/>
              <w:rPr>
                <w:rFonts w:ascii="宋体" w:hAnsi="宋体" w:eastAsia="宋体" w:cs="宋体"/>
                <w:sz w:val="24"/>
                <w:szCs w:val="24"/>
              </w:rPr>
            </w:pPr>
            <w:r>
              <w:rPr>
                <w:rFonts w:hint="eastAsia" w:ascii="宋体" w:hAnsi="宋体" w:eastAsia="宋体" w:cs="宋体"/>
                <w:sz w:val="24"/>
                <w:szCs w:val="24"/>
              </w:rPr>
              <w:t>队名</w:t>
            </w:r>
          </w:p>
        </w:tc>
        <w:tc>
          <w:tcPr>
            <w:tcW w:w="1432" w:type="pct"/>
            <w:gridSpan w:val="3"/>
            <w:shd w:val="clear" w:color="auto" w:fill="FFFFFF"/>
          </w:tcPr>
          <w:p>
            <w:pPr>
              <w:spacing w:line="360" w:lineRule="auto"/>
              <w:jc w:val="center"/>
              <w:rPr>
                <w:rFonts w:ascii="宋体" w:hAnsi="宋体" w:eastAsia="宋体" w:cs="宋体"/>
                <w:sz w:val="24"/>
                <w:szCs w:val="24"/>
              </w:rPr>
            </w:pPr>
          </w:p>
        </w:tc>
        <w:tc>
          <w:tcPr>
            <w:tcW w:w="694"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组别</w:t>
            </w:r>
          </w:p>
        </w:tc>
        <w:tc>
          <w:tcPr>
            <w:tcW w:w="1134" w:type="pct"/>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 w:hRule="atLeast"/>
          <w:jc w:val="center"/>
        </w:trPr>
        <w:tc>
          <w:tcPr>
            <w:tcW w:w="1084" w:type="pct"/>
            <w:gridSpan w:val="3"/>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w:t>
            </w:r>
          </w:p>
        </w:tc>
        <w:tc>
          <w:tcPr>
            <w:tcW w:w="2088" w:type="pct"/>
            <w:gridSpan w:val="4"/>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描述</w:t>
            </w:r>
          </w:p>
        </w:tc>
        <w:tc>
          <w:tcPr>
            <w:tcW w:w="694"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分值</w:t>
            </w:r>
          </w:p>
        </w:tc>
        <w:tc>
          <w:tcPr>
            <w:tcW w:w="1134"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任务一</w:t>
            </w:r>
          </w:p>
        </w:tc>
        <w:tc>
          <w:tcPr>
            <w:tcW w:w="2088" w:type="pct"/>
            <w:gridSpan w:val="4"/>
            <w:shd w:val="clear" w:color="auto" w:fill="FFFFFF"/>
            <w:vAlign w:val="center"/>
          </w:tcPr>
          <w:p>
            <w:pPr>
              <w:spacing w:line="360" w:lineRule="auto"/>
              <w:jc w:val="left"/>
              <w:rPr>
                <w:rFonts w:hint="eastAsia" w:ascii="宋体" w:hAnsi="宋体" w:eastAsia="宋体" w:cs="宋体"/>
                <w:sz w:val="24"/>
                <w:szCs w:val="24"/>
                <w:lang w:eastAsia="zh-CN"/>
              </w:rPr>
            </w:pPr>
            <w:r>
              <w:rPr>
                <w:rFonts w:ascii="宋体" w:hAnsi="宋体" w:eastAsia="宋体" w:cs="宋体"/>
                <w:sz w:val="24"/>
                <w:szCs w:val="24"/>
              </w:rPr>
              <w:t>通过</w:t>
            </w:r>
            <w:r>
              <w:rPr>
                <w:rFonts w:hint="eastAsia" w:ascii="宋体" w:hAnsi="宋体" w:eastAsia="宋体" w:cs="宋体"/>
                <w:sz w:val="24"/>
                <w:szCs w:val="24"/>
                <w:lang w:val="en-US" w:eastAsia="zh-CN"/>
              </w:rPr>
              <w:t>扫描</w:t>
            </w:r>
            <w:r>
              <w:rPr>
                <w:rFonts w:ascii="宋体" w:hAnsi="宋体" w:eastAsia="宋体" w:cs="宋体"/>
                <w:sz w:val="24"/>
                <w:szCs w:val="24"/>
              </w:rPr>
              <w:t>机器人身上的识别卡，</w:t>
            </w:r>
            <w:r>
              <w:rPr>
                <w:rFonts w:hint="eastAsia" w:ascii="宋体" w:hAnsi="宋体" w:eastAsia="宋体" w:cs="宋体"/>
                <w:sz w:val="24"/>
                <w:szCs w:val="24"/>
                <w:lang w:val="en-US" w:eastAsia="zh-CN"/>
              </w:rPr>
              <w:t>将</w:t>
            </w:r>
            <w:r>
              <w:rPr>
                <w:rFonts w:ascii="宋体" w:hAnsi="宋体" w:eastAsia="宋体" w:cs="宋体"/>
                <w:sz w:val="24"/>
                <w:szCs w:val="24"/>
              </w:rPr>
              <w:t>灯带</w:t>
            </w:r>
            <w:r>
              <w:rPr>
                <w:rFonts w:hint="eastAsia" w:ascii="宋体" w:hAnsi="宋体" w:eastAsia="宋体" w:cs="宋体"/>
                <w:sz w:val="24"/>
                <w:szCs w:val="24"/>
                <w:lang w:val="en-US" w:eastAsia="zh-CN"/>
              </w:rPr>
              <w:t>点亮为识别卡上的颜色</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4"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任务二</w:t>
            </w:r>
          </w:p>
        </w:tc>
        <w:tc>
          <w:tcPr>
            <w:tcW w:w="2088" w:type="pct"/>
            <w:gridSpan w:val="4"/>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识别指示牌信息，并在机器人上显示</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任务三</w:t>
            </w:r>
          </w:p>
        </w:tc>
        <w:tc>
          <w:tcPr>
            <w:tcW w:w="2088" w:type="pct"/>
            <w:gridSpan w:val="4"/>
            <w:shd w:val="clear" w:color="auto" w:fill="FFFFFF"/>
            <w:vAlign w:val="center"/>
          </w:tcPr>
          <w:p>
            <w:p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将</w:t>
            </w:r>
            <w:r>
              <w:rPr>
                <w:rFonts w:hint="eastAsia" w:ascii="宋体" w:hAnsi="宋体" w:eastAsia="宋体" w:cs="宋体"/>
                <w:sz w:val="24"/>
                <w:szCs w:val="24"/>
              </w:rPr>
              <w:t>仓库区域的三盏灯</w:t>
            </w:r>
            <w:r>
              <w:rPr>
                <w:rFonts w:hint="eastAsia" w:ascii="宋体" w:hAnsi="宋体" w:eastAsia="宋体" w:cs="宋体"/>
                <w:sz w:val="24"/>
                <w:szCs w:val="24"/>
                <w:lang w:val="en-US" w:eastAsia="zh-CN"/>
              </w:rPr>
              <w:t>点亮成绿色</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任务四</w:t>
            </w:r>
          </w:p>
        </w:tc>
        <w:tc>
          <w:tcPr>
            <w:tcW w:w="2088" w:type="pct"/>
            <w:gridSpan w:val="4"/>
            <w:shd w:val="clear" w:color="auto" w:fill="FFFFFF"/>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识别感应点信息，并在机器人上显示</w:t>
            </w:r>
            <w:r>
              <w:rPr>
                <w:rFonts w:hint="eastAsia" w:ascii="宋体" w:hAnsi="宋体" w:eastAsia="宋体" w:cs="宋体"/>
                <w:sz w:val="24"/>
                <w:szCs w:val="24"/>
                <w:lang w:val="en-US" w:eastAsia="zh-CN"/>
              </w:rPr>
              <w:t>对应数字</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5/个</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2"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任务五</w:t>
            </w:r>
          </w:p>
        </w:tc>
        <w:tc>
          <w:tcPr>
            <w:tcW w:w="2088" w:type="pct"/>
            <w:gridSpan w:val="4"/>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移动矿场区积木块到冶炼厂</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15</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任务六</w:t>
            </w:r>
          </w:p>
        </w:tc>
        <w:tc>
          <w:tcPr>
            <w:tcW w:w="2088" w:type="pct"/>
            <w:gridSpan w:val="4"/>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将氦 3 积木块移动到仓库</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10/个</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084" w:type="pct"/>
            <w:gridSpan w:val="3"/>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任务七</w:t>
            </w:r>
          </w:p>
        </w:tc>
        <w:tc>
          <w:tcPr>
            <w:tcW w:w="2088" w:type="pct"/>
            <w:gridSpan w:val="4"/>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lang w:val="en-US" w:eastAsia="zh-CN"/>
              </w:rPr>
              <w:t>推开终点门磁的栏杆</w:t>
            </w:r>
            <w:r>
              <w:rPr>
                <w:rFonts w:hint="eastAsia" w:ascii="宋体" w:hAnsi="宋体" w:eastAsia="宋体" w:cs="宋体"/>
                <w:sz w:val="24"/>
                <w:szCs w:val="24"/>
              </w:rPr>
              <w:t>，关闭灯带</w:t>
            </w:r>
          </w:p>
        </w:tc>
        <w:tc>
          <w:tcPr>
            <w:tcW w:w="694" w:type="pc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1134"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84" w:type="pct"/>
            <w:gridSpan w:val="3"/>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总分</w:t>
            </w:r>
          </w:p>
        </w:tc>
        <w:tc>
          <w:tcPr>
            <w:tcW w:w="3916" w:type="pct"/>
            <w:gridSpan w:val="6"/>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84" w:type="pct"/>
            <w:gridSpan w:val="3"/>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单轮用时</w:t>
            </w:r>
          </w:p>
        </w:tc>
        <w:tc>
          <w:tcPr>
            <w:tcW w:w="3916" w:type="pct"/>
            <w:gridSpan w:val="6"/>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5000" w:type="pct"/>
            <w:gridSpan w:val="9"/>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得分确认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5000" w:type="pct"/>
            <w:gridSpan w:val="9"/>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本人已确认以上比赛得分记录结果，真实有效，无任何异议。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20"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参赛队员：</w:t>
            </w:r>
          </w:p>
        </w:tc>
        <w:tc>
          <w:tcPr>
            <w:tcW w:w="1480" w:type="pct"/>
            <w:gridSpan w:val="3"/>
            <w:shd w:val="clear" w:color="auto" w:fill="FFFFFF"/>
          </w:tcPr>
          <w:p>
            <w:pPr>
              <w:spacing w:line="360" w:lineRule="auto"/>
              <w:jc w:val="center"/>
              <w:rPr>
                <w:rFonts w:ascii="宋体" w:hAnsi="宋体" w:eastAsia="宋体" w:cs="宋体"/>
                <w:sz w:val="24"/>
                <w:szCs w:val="24"/>
              </w:rPr>
            </w:pPr>
          </w:p>
        </w:tc>
        <w:tc>
          <w:tcPr>
            <w:tcW w:w="659"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裁判：</w:t>
            </w:r>
          </w:p>
        </w:tc>
        <w:tc>
          <w:tcPr>
            <w:tcW w:w="1841" w:type="pct"/>
            <w:gridSpan w:val="3"/>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20"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问题及备注</w:t>
            </w:r>
          </w:p>
        </w:tc>
        <w:tc>
          <w:tcPr>
            <w:tcW w:w="3980" w:type="pct"/>
            <w:gridSpan w:val="7"/>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20"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裁判长：</w:t>
            </w:r>
          </w:p>
        </w:tc>
        <w:tc>
          <w:tcPr>
            <w:tcW w:w="1480" w:type="pct"/>
            <w:gridSpan w:val="3"/>
            <w:shd w:val="clear" w:color="auto" w:fill="FFFFFF"/>
          </w:tcPr>
          <w:p>
            <w:pPr>
              <w:spacing w:line="360" w:lineRule="auto"/>
              <w:jc w:val="center"/>
              <w:rPr>
                <w:rFonts w:ascii="宋体" w:hAnsi="宋体" w:eastAsia="宋体" w:cs="宋体"/>
                <w:sz w:val="24"/>
                <w:szCs w:val="24"/>
              </w:rPr>
            </w:pPr>
          </w:p>
        </w:tc>
        <w:tc>
          <w:tcPr>
            <w:tcW w:w="659"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录入：</w:t>
            </w:r>
          </w:p>
        </w:tc>
        <w:tc>
          <w:tcPr>
            <w:tcW w:w="1841" w:type="pct"/>
            <w:gridSpan w:val="3"/>
            <w:shd w:val="clear" w:color="auto" w:fill="FFFFFF"/>
          </w:tcPr>
          <w:p>
            <w:pPr>
              <w:spacing w:line="360" w:lineRule="auto"/>
              <w:jc w:val="center"/>
              <w:rPr>
                <w:rFonts w:ascii="宋体" w:hAnsi="宋体" w:eastAsia="宋体" w:cs="宋体"/>
                <w:sz w:val="24"/>
                <w:szCs w:val="24"/>
              </w:rPr>
            </w:pPr>
          </w:p>
        </w:tc>
      </w:tr>
    </w:tbl>
    <w:p>
      <w:pPr>
        <w:spacing w:line="360" w:lineRule="auto"/>
        <w:rPr>
          <w:rFonts w:ascii="宋体" w:hAnsi="宋体" w:eastAsia="宋体" w:cs="宋体"/>
          <w:kern w:val="0"/>
          <w:sz w:val="24"/>
          <w:szCs w:val="24"/>
        </w:rPr>
      </w:pPr>
    </w:p>
    <w:p>
      <w:pPr>
        <w:spacing w:line="360" w:lineRule="auto"/>
        <w:rPr>
          <w:rFonts w:ascii="宋体" w:hAnsi="宋体" w:eastAsia="宋体" w:cs="宋体"/>
          <w:kern w:val="0"/>
          <w:sz w:val="24"/>
          <w:szCs w:val="24"/>
        </w:rPr>
      </w:pPr>
    </w:p>
    <w:p>
      <w:pPr>
        <w:spacing w:line="360" w:lineRule="auto"/>
        <w:rPr>
          <w:rFonts w:ascii="宋体" w:hAnsi="宋体" w:eastAsia="宋体" w:cs="宋体"/>
          <w:kern w:val="0"/>
          <w:sz w:val="24"/>
          <w:szCs w:val="24"/>
        </w:rPr>
      </w:pPr>
    </w:p>
    <w:p>
      <w:pPr>
        <w:spacing w:line="360" w:lineRule="auto"/>
        <w:rPr>
          <w:rFonts w:ascii="宋体" w:hAnsi="宋体" w:eastAsia="宋体" w:cs="宋体"/>
          <w:kern w:val="0"/>
          <w:sz w:val="24"/>
          <w:szCs w:val="24"/>
        </w:rPr>
      </w:pPr>
    </w:p>
    <w:p>
      <w:pPr>
        <w:spacing w:line="360" w:lineRule="auto"/>
        <w:rPr>
          <w:rFonts w:ascii="宋体" w:hAnsi="宋体" w:eastAsia="宋体" w:cs="宋体"/>
          <w:kern w:val="0"/>
          <w:sz w:val="24"/>
          <w:szCs w:val="24"/>
        </w:rPr>
      </w:pPr>
    </w:p>
    <w:p>
      <w:pPr>
        <w:spacing w:line="360" w:lineRule="auto"/>
        <w:rPr>
          <w:rFonts w:ascii="宋体" w:hAnsi="宋体" w:eastAsia="宋体" w:cs="宋体"/>
          <w:kern w:val="0"/>
          <w:sz w:val="24"/>
          <w:szCs w:val="24"/>
        </w:rPr>
      </w:pPr>
    </w:p>
    <w:p>
      <w:pPr>
        <w:widowControl/>
        <w:spacing w:line="240" w:lineRule="auto"/>
        <w:jc w:val="left"/>
        <w:rPr>
          <w:rFonts w:ascii="宋体" w:hAnsi="宋体" w:eastAsia="宋体" w:cs="宋体"/>
          <w:kern w:val="0"/>
          <w:sz w:val="24"/>
          <w:szCs w:val="24"/>
        </w:rPr>
      </w:pPr>
      <w:bookmarkStart w:id="59" w:name="_Toc23068"/>
      <w:bookmarkStart w:id="60" w:name="_Toc3929"/>
      <w:r>
        <w:rPr>
          <w:rFonts w:ascii="宋体" w:hAnsi="宋体" w:eastAsia="宋体" w:cs="宋体"/>
          <w:kern w:val="0"/>
          <w:sz w:val="24"/>
          <w:szCs w:val="24"/>
        </w:rPr>
        <w:br w:type="page"/>
      </w:r>
    </w:p>
    <w:p>
      <w:pPr>
        <w:spacing w:line="360" w:lineRule="auto"/>
        <w:outlineLvl w:val="0"/>
        <w:rPr>
          <w:rFonts w:ascii="宋体" w:hAnsi="宋体" w:eastAsia="宋体" w:cs="宋体"/>
          <w:b/>
          <w:bCs/>
          <w:kern w:val="0"/>
          <w:sz w:val="24"/>
          <w:szCs w:val="24"/>
        </w:rPr>
      </w:pPr>
      <w:bookmarkStart w:id="61" w:name="_Toc1999"/>
      <w:r>
        <w:rPr>
          <w:rFonts w:hint="eastAsia" w:ascii="宋体" w:hAnsi="宋体" w:eastAsia="宋体" w:cs="宋体"/>
          <w:b/>
          <w:bCs/>
          <w:kern w:val="0"/>
          <w:sz w:val="24"/>
          <w:szCs w:val="24"/>
        </w:rPr>
        <w:t>附录</w:t>
      </w: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：比赛结果评分表</w:t>
      </w:r>
      <w:bookmarkEnd w:id="59"/>
      <w:bookmarkEnd w:id="60"/>
      <w:bookmarkEnd w:id="61"/>
    </w:p>
    <w:tbl>
      <w:tblPr>
        <w:tblStyle w:val="8"/>
        <w:tblW w:w="883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1"/>
        <w:gridCol w:w="981"/>
        <w:gridCol w:w="982"/>
        <w:gridCol w:w="981"/>
        <w:gridCol w:w="982"/>
        <w:gridCol w:w="981"/>
        <w:gridCol w:w="982"/>
        <w:gridCol w:w="981"/>
        <w:gridCol w:w="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833" w:type="dxa"/>
            <w:gridSpan w:val="9"/>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月球资源采集</w:t>
            </w:r>
            <w:r>
              <w:rPr>
                <w:rFonts w:hint="eastAsia" w:ascii="宋体" w:hAnsi="宋体" w:eastAsia="宋体" w:cs="宋体"/>
                <w:sz w:val="24"/>
                <w:szCs w:val="24"/>
              </w:rPr>
              <w:t>挑战赛比赛结果评分表-小学组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编号</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队名</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第一轮得分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第二轮得分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最高分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最高分完成时间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bl>
    <w:p>
      <w:pPr>
        <w:pStyle w:val="10"/>
        <w:numPr>
          <w:ilvl w:val="0"/>
          <w:numId w:val="0"/>
        </w:numPr>
        <w:ind w:leftChars="200"/>
        <w:jc w:val="both"/>
        <w:rPr>
          <w:rFonts w:hint="eastAsia" w:ascii="微软雅黑" w:hAnsi="微软雅黑" w:eastAsia="微软雅黑" w:cs="微软雅黑"/>
          <w:color w:val="auto"/>
          <w:sz w:val="20"/>
          <w:szCs w:val="20"/>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eastAsiaTheme="minorEastAsia"/>
        <w:lang w:val="en-US" w:eastAsia="zh-CN"/>
      </w:rPr>
      <w:drawing>
        <wp:anchor distT="0" distB="0" distL="114300" distR="114300" simplePos="0" relativeHeight="251659264" behindDoc="1" locked="0" layoutInCell="1" allowOverlap="1">
          <wp:simplePos x="0" y="0"/>
          <wp:positionH relativeFrom="column">
            <wp:posOffset>-1181100</wp:posOffset>
          </wp:positionH>
          <wp:positionV relativeFrom="paragraph">
            <wp:posOffset>-553085</wp:posOffset>
          </wp:positionV>
          <wp:extent cx="7597775" cy="771525"/>
          <wp:effectExtent l="0" t="0" r="6985" b="5715"/>
          <wp:wrapNone/>
          <wp:docPr id="32" name="图片 32" descr="未标题-9_画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未标题-9_画板 1(1)"/>
                  <pic:cNvPicPr>
                    <a:picLocks noChangeAspect="1"/>
                  </pic:cNvPicPr>
                </pic:nvPicPr>
                <pic:blipFill>
                  <a:blip r:embed="rId1"/>
                  <a:stretch>
                    <a:fillRect/>
                  </a:stretch>
                </pic:blipFill>
                <pic:spPr>
                  <a:xfrm>
                    <a:off x="0" y="0"/>
                    <a:ext cx="75977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C4387"/>
    <w:multiLevelType w:val="singleLevel"/>
    <w:tmpl w:val="B7EC43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05FC9"/>
    <w:rsid w:val="08004984"/>
    <w:rsid w:val="0DE05FC9"/>
    <w:rsid w:val="0E2F1148"/>
    <w:rsid w:val="0F134E1E"/>
    <w:rsid w:val="3A54282C"/>
    <w:rsid w:val="5BA1063F"/>
    <w:rsid w:val="7F3C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0"/>
    <w:rPr>
      <w:rFonts w:ascii="Times New Roman" w:hAnsi="Times New Roman" w:eastAsia="宋体" w:cs="Times New Roman"/>
      <w:sz w:val="21"/>
      <w:szCs w:val="22"/>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 w:type="paragraph" w:customStyle="1" w:styleId="13">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2021-04-06T07:09:00Z</dcterms:created>
  <dc:creator>姚佳乐</dc:creator>
  <cp:lastModifiedBy>姚佳乐</cp:lastModifiedBy>
  <dcterms:modified xsi:type="dcterms:W3CDTF">2021-04-06T07:43:35Z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35B27921A63540B89C4DD497BF7370FB</vt:lpwstr>
  </property>
</Properties>
</file>